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346D8" w14:textId="550CCA37" w:rsidR="00BA44AF" w:rsidRPr="00EB1D71" w:rsidRDefault="00227853" w:rsidP="00BA44AF">
      <w:pPr>
        <w:spacing w:after="0" w:line="259" w:lineRule="auto"/>
        <w:ind w:left="-1417" w:right="11533"/>
        <w:rPr>
          <w:rFonts w:asciiTheme="minorHAnsi" w:hAnsiTheme="minorHAnsi" w:cstheme="minorHAnsi"/>
        </w:rPr>
      </w:pPr>
      <w:r w:rsidRPr="00EB1D71">
        <w:rPr>
          <w:rFonts w:asciiTheme="minorHAnsi" w:eastAsia="Calibri" w:hAnsiTheme="minorHAnsi" w:cstheme="minorHAnsi"/>
          <w:noProof/>
          <w:color w:val="000000"/>
          <w:sz w:val="22"/>
        </w:rPr>
        <mc:AlternateContent>
          <mc:Choice Requires="wps">
            <w:drawing>
              <wp:anchor distT="0" distB="0" distL="114300" distR="114300" simplePos="0" relativeHeight="251658242" behindDoc="0" locked="0" layoutInCell="1" allowOverlap="1" wp14:anchorId="737CCBE0" wp14:editId="0B886562">
                <wp:simplePos x="0" y="0"/>
                <wp:positionH relativeFrom="margin">
                  <wp:align>right</wp:align>
                </wp:positionH>
                <wp:positionV relativeFrom="paragraph">
                  <wp:posOffset>6043905</wp:posOffset>
                </wp:positionV>
                <wp:extent cx="5871330" cy="2210463"/>
                <wp:effectExtent l="0" t="0" r="0" b="0"/>
                <wp:wrapNone/>
                <wp:docPr id="902459494" name="Text Box 2"/>
                <wp:cNvGraphicFramePr/>
                <a:graphic xmlns:a="http://schemas.openxmlformats.org/drawingml/2006/main">
                  <a:graphicData uri="http://schemas.microsoft.com/office/word/2010/wordprocessingShape">
                    <wps:wsp>
                      <wps:cNvSpPr txBox="1"/>
                      <wps:spPr>
                        <a:xfrm>
                          <a:off x="0" y="0"/>
                          <a:ext cx="5871330" cy="2210463"/>
                        </a:xfrm>
                        <a:prstGeom prst="rect">
                          <a:avLst/>
                        </a:prstGeom>
                        <a:noFill/>
                        <a:ln w="6350">
                          <a:noFill/>
                        </a:ln>
                      </wps:spPr>
                      <wps:txbx>
                        <w:txbxContent>
                          <w:p w14:paraId="5308EF8E" w14:textId="177E4D9E" w:rsidR="00227853" w:rsidRPr="00227853" w:rsidRDefault="00227853" w:rsidP="00227853">
                            <w:pPr>
                              <w:pStyle w:val="Cover-3bodytext"/>
                              <w:rPr>
                                <w:color w:val="0082CA" w:themeColor="text1"/>
                              </w:rPr>
                            </w:pPr>
                            <w:r w:rsidRPr="00227853">
                              <w:rPr>
                                <w:color w:val="0082CA" w:themeColor="text1"/>
                              </w:rPr>
                              <w:t xml:space="preserve">This is an accessible version of the final report of a </w:t>
                            </w:r>
                            <w:r>
                              <w:rPr>
                                <w:color w:val="0082CA" w:themeColor="text1"/>
                              </w:rPr>
                              <w:t>6</w:t>
                            </w:r>
                            <w:r w:rsidRPr="00227853">
                              <w:rPr>
                                <w:color w:val="0082CA" w:themeColor="text1"/>
                              </w:rPr>
                              <w:t xml:space="preserve">-month project (91250004) that started in </w:t>
                            </w:r>
                            <w:r>
                              <w:rPr>
                                <w:color w:val="0082CA" w:themeColor="text1"/>
                              </w:rPr>
                              <w:t>October 2025</w:t>
                            </w:r>
                            <w:r w:rsidRPr="00227853">
                              <w:rPr>
                                <w:color w:val="0082CA" w:themeColor="text1"/>
                              </w:rPr>
                              <w:t>, which was prepared by AHDB.</w:t>
                            </w:r>
                          </w:p>
                          <w:p w14:paraId="18DAE9F0" w14:textId="3B3006EC" w:rsidR="00227853" w:rsidRPr="00227853" w:rsidRDefault="00227853" w:rsidP="00227853">
                            <w:pPr>
                              <w:pStyle w:val="Cover-3bodytext"/>
                              <w:rPr>
                                <w:color w:val="0082CA" w:themeColor="text1"/>
                              </w:rPr>
                            </w:pPr>
                            <w:r w:rsidRPr="00227853">
                              <w:rPr>
                                <w:color w:val="0082CA" w:themeColor="text1"/>
                              </w:rPr>
                              <w:t>The work was funded by a contract for £33,999.88 from AHDB.</w:t>
                            </w:r>
                          </w:p>
                          <w:p w14:paraId="214D5D61" w14:textId="77777777" w:rsidR="00227853" w:rsidRPr="00227853" w:rsidRDefault="00227853" w:rsidP="00227853">
                            <w:pPr>
                              <w:pStyle w:val="Cover-3bodytext"/>
                              <w:rPr>
                                <w:color w:val="0082CA" w:themeColor="text1"/>
                              </w:rPr>
                            </w:pPr>
                            <w:r w:rsidRPr="00227853">
                              <w:rPr>
                                <w:color w:val="0082CA" w:themeColor="text1"/>
                              </w:rPr>
                              <w:t>The original report can be requested from AHDB, which was prepared by:</w:t>
                            </w:r>
                          </w:p>
                          <w:p w14:paraId="300406C4" w14:textId="04F602B2" w:rsidR="00227853" w:rsidRDefault="00227853" w:rsidP="00227853">
                            <w:pPr>
                              <w:pStyle w:val="Cover-3bodytext"/>
                              <w:numPr>
                                <w:ilvl w:val="0"/>
                                <w:numId w:val="7"/>
                              </w:numPr>
                              <w:rPr>
                                <w:color w:val="0082CA" w:themeColor="text1"/>
                              </w:rPr>
                            </w:pPr>
                            <w:r>
                              <w:rPr>
                                <w:color w:val="0082CA" w:themeColor="text1"/>
                              </w:rPr>
                              <w:t>Julia Cooper</w:t>
                            </w:r>
                            <w:r w:rsidR="003F0C2C">
                              <w:rPr>
                                <w:color w:val="0082CA" w:themeColor="text1"/>
                              </w:rPr>
                              <w:t xml:space="preserve"> and Catriona Willoughby</w:t>
                            </w:r>
                            <w:r>
                              <w:rPr>
                                <w:color w:val="0082CA" w:themeColor="text1"/>
                              </w:rPr>
                              <w:t xml:space="preserve">, </w:t>
                            </w:r>
                            <w:r w:rsidRPr="00227853">
                              <w:rPr>
                                <w:color w:val="0082CA" w:themeColor="text1"/>
                              </w:rPr>
                              <w:t>Organic Research Centre</w:t>
                            </w:r>
                            <w:r w:rsidR="003F0C2C">
                              <w:rPr>
                                <w:color w:val="0082CA" w:themeColor="text1"/>
                              </w:rPr>
                              <w:t>,</w:t>
                            </w:r>
                            <w:r w:rsidR="00A06D4C">
                              <w:rPr>
                                <w:color w:val="0082CA" w:themeColor="text1"/>
                              </w:rPr>
                              <w:t xml:space="preserve"> </w:t>
                            </w:r>
                            <w:r w:rsidR="003F0C2C" w:rsidRPr="003F0C2C">
                              <w:rPr>
                                <w:color w:val="0082CA" w:themeColor="text1"/>
                              </w:rPr>
                              <w:t>RSK ADAS Ltd., Spring Lodge, 172 Chester Road, Helsby, Cheshire, WA6 0AR</w:t>
                            </w:r>
                          </w:p>
                          <w:p w14:paraId="25844D58" w14:textId="135F37C6" w:rsidR="00227853" w:rsidRPr="00227853" w:rsidRDefault="00227853" w:rsidP="00227853">
                            <w:pPr>
                              <w:pStyle w:val="Cover-3bodytext"/>
                              <w:numPr>
                                <w:ilvl w:val="0"/>
                                <w:numId w:val="7"/>
                              </w:numPr>
                              <w:rPr>
                                <w:color w:val="0082CA" w:themeColor="text1"/>
                              </w:rPr>
                            </w:pPr>
                            <w:r>
                              <w:rPr>
                                <w:color w:val="0082CA" w:themeColor="text1"/>
                              </w:rPr>
                              <w:t>Fiona Fraser, SRUC Aberdeen</w:t>
                            </w:r>
                            <w:r w:rsidR="003F0C2C">
                              <w:rPr>
                                <w:color w:val="0082CA" w:themeColor="text1"/>
                              </w:rPr>
                              <w:t xml:space="preserve">, </w:t>
                            </w:r>
                            <w:r w:rsidR="003F0C2C" w:rsidRPr="003F0C2C">
                              <w:rPr>
                                <w:color w:val="0082CA" w:themeColor="text1"/>
                              </w:rPr>
                              <w:t>Craibstone Estate, Bucksburn, Aberdeen, AB21 9YA</w:t>
                            </w:r>
                          </w:p>
                          <w:p w14:paraId="5F97EF06" w14:textId="4A25E16F" w:rsidR="00227853" w:rsidRPr="00227853" w:rsidRDefault="00227853" w:rsidP="00227853">
                            <w:pPr>
                              <w:pStyle w:val="Cover-3bodytext"/>
                              <w:numPr>
                                <w:ilvl w:val="0"/>
                                <w:numId w:val="7"/>
                              </w:numPr>
                              <w:rPr>
                                <w:color w:val="0082CA" w:themeColor="text1"/>
                              </w:rPr>
                            </w:pPr>
                            <w:r>
                              <w:rPr>
                                <w:color w:val="0082CA" w:themeColor="text1"/>
                              </w:rPr>
                              <w:t>Paul Hargreaves, SRUC Barony</w:t>
                            </w:r>
                            <w:r w:rsidR="003F0C2C">
                              <w:rPr>
                                <w:color w:val="0082CA" w:themeColor="text1"/>
                              </w:rPr>
                              <w:t xml:space="preserve">, </w:t>
                            </w:r>
                            <w:r w:rsidR="003F0C2C" w:rsidRPr="003F0C2C">
                              <w:rPr>
                                <w:color w:val="0082CA" w:themeColor="text1"/>
                              </w:rPr>
                              <w:t>Parkgate, Dumfries, DG1 3NE</w:t>
                            </w:r>
                          </w:p>
                          <w:p w14:paraId="62B9B303" w14:textId="77777777" w:rsidR="00227853" w:rsidRDefault="00227853" w:rsidP="00227853">
                            <w:pPr>
                              <w:pStyle w:val="Cover-3bodytext"/>
                            </w:pPr>
                          </w:p>
                          <w:p w14:paraId="09156145" w14:textId="77777777" w:rsidR="00227853" w:rsidRDefault="00227853" w:rsidP="00227853">
                            <w:pPr>
                              <w:pStyle w:val="Cover-3bodytext"/>
                            </w:pPr>
                          </w:p>
                          <w:p w14:paraId="14414C1E" w14:textId="77777777" w:rsidR="00227853" w:rsidRDefault="00227853" w:rsidP="00227853">
                            <w:pPr>
                              <w:pStyle w:val="Cover-3bodytext"/>
                            </w:pPr>
                          </w:p>
                          <w:p w14:paraId="2811C948" w14:textId="77777777" w:rsidR="00227853" w:rsidRDefault="00227853" w:rsidP="00227853">
                            <w:pPr>
                              <w:pStyle w:val="Cover-3bodytext"/>
                            </w:pPr>
                            <w:r>
                              <w:t>Author1, Author1 and Author2</w:t>
                            </w:r>
                          </w:p>
                          <w:p w14:paraId="4D639357" w14:textId="77777777" w:rsidR="00227853" w:rsidRDefault="00227853" w:rsidP="00227853">
                            <w:pPr>
                              <w:pStyle w:val="Cover-3bodytext"/>
                            </w:pPr>
                            <w:r>
                              <w:t>1Address</w:t>
                            </w:r>
                          </w:p>
                          <w:p w14:paraId="001855B0" w14:textId="77777777" w:rsidR="00227853" w:rsidRPr="00250F43" w:rsidRDefault="00227853" w:rsidP="00227853">
                            <w:pPr>
                              <w:pStyle w:val="Cover-3bodytext"/>
                            </w:pPr>
                            <w:r>
                              <w:t>2Address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7CCBE0" id="_x0000_t202" coordsize="21600,21600" o:spt="202" path="m,l,21600r21600,l21600,xe">
                <v:stroke joinstyle="miter"/>
                <v:path gradientshapeok="t" o:connecttype="rect"/>
              </v:shapetype>
              <v:shape id="Text Box 2" o:spid="_x0000_s1026" type="#_x0000_t202" style="position:absolute;left:0;text-align:left;margin-left:411.1pt;margin-top:475.9pt;width:462.3pt;height:174.05pt;z-index:25165824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" filled="f" stroked="f" strokeweight=".5pt">
                <v:textbox>
                  <w:txbxContent>
                    <w:p w14:paraId="5308EF8E" w14:textId="177E4D9E" w:rsidR="00227853" w:rsidRPr="00227853" w:rsidRDefault="00227853" w:rsidP="00227853">
                      <w:pPr>
                        <w:pStyle w:val="Cover-3bodytext"/>
                        <w:rPr>
                          <w:color w:val="0082CA" w:themeColor="text1"/>
                        </w:rPr>
                      </w:pPr>
                      <w:r w:rsidRPr="00227853">
                        <w:rPr>
                          <w:color w:val="0082CA" w:themeColor="text1"/>
                        </w:rPr>
                        <w:t xml:space="preserve">This is an accessible version of the final report of a </w:t>
                      </w:r>
                      <w:r>
                        <w:rPr>
                          <w:color w:val="0082CA" w:themeColor="text1"/>
                        </w:rPr>
                        <w:t>6</w:t>
                      </w:r>
                      <w:r w:rsidRPr="00227853">
                        <w:rPr>
                          <w:color w:val="0082CA" w:themeColor="text1"/>
                        </w:rPr>
                        <w:t xml:space="preserve">-month project (91250004) that started in </w:t>
                      </w:r>
                      <w:r>
                        <w:rPr>
                          <w:color w:val="0082CA" w:themeColor="text1"/>
                        </w:rPr>
                        <w:t>October 2025</w:t>
                      </w:r>
                      <w:r w:rsidRPr="00227853">
                        <w:rPr>
                          <w:color w:val="0082CA" w:themeColor="text1"/>
                        </w:rPr>
                        <w:t>, which was prepared by AHDB.</w:t>
                      </w:r>
                    </w:p>
                    <w:p w14:paraId="18DAE9F0" w14:textId="3B3006EC" w:rsidR="00227853" w:rsidRPr="00227853" w:rsidRDefault="00227853" w:rsidP="00227853">
                      <w:pPr>
                        <w:pStyle w:val="Cover-3bodytext"/>
                        <w:rPr>
                          <w:color w:val="0082CA" w:themeColor="text1"/>
                        </w:rPr>
                      </w:pPr>
                      <w:r w:rsidRPr="00227853">
                        <w:rPr>
                          <w:color w:val="0082CA" w:themeColor="text1"/>
                        </w:rPr>
                        <w:t>The work was funded by a contract for £33,999.88 from AHDB.</w:t>
                      </w:r>
                    </w:p>
                    <w:p w14:paraId="214D5D61" w14:textId="77777777" w:rsidR="00227853" w:rsidRPr="00227853" w:rsidRDefault="00227853" w:rsidP="00227853">
                      <w:pPr>
                        <w:pStyle w:val="Cover-3bodytext"/>
                        <w:rPr>
                          <w:color w:val="0082CA" w:themeColor="text1"/>
                        </w:rPr>
                      </w:pPr>
                      <w:r w:rsidRPr="00227853">
                        <w:rPr>
                          <w:color w:val="0082CA" w:themeColor="text1"/>
                        </w:rPr>
                        <w:t>The original report can be requested from AHDB, which was prepared by:</w:t>
                      </w:r>
                    </w:p>
                    <w:p w14:paraId="300406C4" w14:textId="04F602B2" w:rsidR="00227853" w:rsidRDefault="00227853" w:rsidP="00227853">
                      <w:pPr>
                        <w:pStyle w:val="Cover-3bodytext"/>
                        <w:numPr>
                          <w:ilvl w:val="0"/>
                          <w:numId w:val="7"/>
                        </w:numPr>
                        <w:rPr>
                          <w:color w:val="0082CA" w:themeColor="text1"/>
                        </w:rPr>
                      </w:pPr>
                      <w:r>
                        <w:rPr>
                          <w:color w:val="0082CA" w:themeColor="text1"/>
                        </w:rPr>
                        <w:t>Julia Cooper</w:t>
                      </w:r>
                      <w:r w:rsidR="003F0C2C">
                        <w:rPr>
                          <w:color w:val="0082CA" w:themeColor="text1"/>
                        </w:rPr>
                        <w:t xml:space="preserve"> and Catriona Willoughby</w:t>
                      </w:r>
                      <w:r>
                        <w:rPr>
                          <w:color w:val="0082CA" w:themeColor="text1"/>
                        </w:rPr>
                        <w:t xml:space="preserve">, </w:t>
                      </w:r>
                      <w:r w:rsidRPr="00227853">
                        <w:rPr>
                          <w:color w:val="0082CA" w:themeColor="text1"/>
                        </w:rPr>
                        <w:t>Organic Research Centre</w:t>
                      </w:r>
                      <w:r w:rsidR="003F0C2C">
                        <w:rPr>
                          <w:color w:val="0082CA" w:themeColor="text1"/>
                        </w:rPr>
                        <w:t>,</w:t>
                      </w:r>
                      <w:r w:rsidR="00A06D4C">
                        <w:rPr>
                          <w:color w:val="0082CA" w:themeColor="text1"/>
                        </w:rPr>
                        <w:t xml:space="preserve"> </w:t>
                      </w:r>
                      <w:r w:rsidR="003F0C2C" w:rsidRPr="003F0C2C">
                        <w:rPr>
                          <w:color w:val="0082CA" w:themeColor="text1"/>
                        </w:rPr>
                        <w:t>RSK ADAS Ltd., Spring Lodge, 172 Chester Road, Helsby, Cheshire, WA6 0AR</w:t>
                      </w:r>
                    </w:p>
                    <w:p w14:paraId="25844D58" w14:textId="135F37C6" w:rsidR="00227853" w:rsidRPr="00227853" w:rsidRDefault="00227853" w:rsidP="00227853">
                      <w:pPr>
                        <w:pStyle w:val="Cover-3bodytext"/>
                        <w:numPr>
                          <w:ilvl w:val="0"/>
                          <w:numId w:val="7"/>
                        </w:numPr>
                        <w:rPr>
                          <w:color w:val="0082CA" w:themeColor="text1"/>
                        </w:rPr>
                      </w:pPr>
                      <w:r>
                        <w:rPr>
                          <w:color w:val="0082CA" w:themeColor="text1"/>
                        </w:rPr>
                        <w:t>Fiona Fraser, SRUC Aberdeen</w:t>
                      </w:r>
                      <w:r w:rsidR="003F0C2C">
                        <w:rPr>
                          <w:color w:val="0082CA" w:themeColor="text1"/>
                        </w:rPr>
                        <w:t xml:space="preserve">, </w:t>
                      </w:r>
                      <w:r w:rsidR="003F0C2C" w:rsidRPr="003F0C2C">
                        <w:rPr>
                          <w:color w:val="0082CA" w:themeColor="text1"/>
                        </w:rPr>
                        <w:t>Craibstone Estate, Bucksburn, Aberdeen, AB21 9YA</w:t>
                      </w:r>
                    </w:p>
                    <w:p w14:paraId="5F97EF06" w14:textId="4A25E16F" w:rsidR="00227853" w:rsidRPr="00227853" w:rsidRDefault="00227853" w:rsidP="00227853">
                      <w:pPr>
                        <w:pStyle w:val="Cover-3bodytext"/>
                        <w:numPr>
                          <w:ilvl w:val="0"/>
                          <w:numId w:val="7"/>
                        </w:numPr>
                        <w:rPr>
                          <w:color w:val="0082CA" w:themeColor="text1"/>
                        </w:rPr>
                      </w:pPr>
                      <w:r>
                        <w:rPr>
                          <w:color w:val="0082CA" w:themeColor="text1"/>
                        </w:rPr>
                        <w:t>Paul Hargreaves, SRUC Barony</w:t>
                      </w:r>
                      <w:r w:rsidR="003F0C2C">
                        <w:rPr>
                          <w:color w:val="0082CA" w:themeColor="text1"/>
                        </w:rPr>
                        <w:t xml:space="preserve">, </w:t>
                      </w:r>
                      <w:r w:rsidR="003F0C2C" w:rsidRPr="003F0C2C">
                        <w:rPr>
                          <w:color w:val="0082CA" w:themeColor="text1"/>
                        </w:rPr>
                        <w:t>Parkgate, Dumfries, DG1 3NE</w:t>
                      </w:r>
                    </w:p>
                    <w:p w14:paraId="62B9B303" w14:textId="77777777" w:rsidR="00227853" w:rsidRDefault="00227853" w:rsidP="00227853">
                      <w:pPr>
                        <w:pStyle w:val="Cover-3bodytext"/>
                      </w:pPr>
                    </w:p>
                    <w:p w14:paraId="09156145" w14:textId="77777777" w:rsidR="00227853" w:rsidRDefault="00227853" w:rsidP="00227853">
                      <w:pPr>
                        <w:pStyle w:val="Cover-3bodytext"/>
                      </w:pPr>
                    </w:p>
                    <w:p w14:paraId="14414C1E" w14:textId="77777777" w:rsidR="00227853" w:rsidRDefault="00227853" w:rsidP="00227853">
                      <w:pPr>
                        <w:pStyle w:val="Cover-3bodytext"/>
                      </w:pPr>
                    </w:p>
                    <w:p w14:paraId="2811C948" w14:textId="77777777" w:rsidR="00227853" w:rsidRDefault="00227853" w:rsidP="00227853">
                      <w:pPr>
                        <w:pStyle w:val="Cover-3bodytext"/>
                      </w:pPr>
                      <w:r>
                        <w:t>Author1, Author1 and Author2</w:t>
                      </w:r>
                    </w:p>
                    <w:p w14:paraId="4D639357" w14:textId="77777777" w:rsidR="00227853" w:rsidRDefault="00227853" w:rsidP="00227853">
                      <w:pPr>
                        <w:pStyle w:val="Cover-3bodytext"/>
                      </w:pPr>
                      <w:r>
                        <w:t>1Address</w:t>
                      </w:r>
                    </w:p>
                    <w:p w14:paraId="001855B0" w14:textId="77777777" w:rsidR="00227853" w:rsidRPr="00250F43" w:rsidRDefault="00227853" w:rsidP="00227853">
                      <w:pPr>
                        <w:pStyle w:val="Cover-3bodytext"/>
                      </w:pPr>
                      <w:r>
                        <w:t>2Address</w:t>
                      </w:r>
                    </w:p>
                  </w:txbxContent>
                </v:textbox>
                <w10:wrap anchorx="margin"/>
              </v:shape>
            </w:pict>
          </mc:Fallback>
        </mc:AlternateContent>
      </w:r>
      <w:r w:rsidR="008F0BE3" w:rsidRPr="00EB1D71">
        <w:rPr>
          <w:rFonts w:asciiTheme="minorHAnsi" w:eastAsia="Calibri" w:hAnsiTheme="minorHAnsi" w:cstheme="minorHAnsi"/>
          <w:noProof/>
          <w:color w:val="000000"/>
          <w:sz w:val="22"/>
        </w:rPr>
        <mc:AlternateContent>
          <mc:Choice Requires="wpg">
            <w:drawing>
              <wp:anchor distT="0" distB="0" distL="114300" distR="114300" simplePos="0" relativeHeight="251658240" behindDoc="0" locked="0" layoutInCell="1" allowOverlap="1" wp14:anchorId="682230E1" wp14:editId="0AA61F8B">
                <wp:simplePos x="0" y="0"/>
                <wp:positionH relativeFrom="page">
                  <wp:posOffset>653143</wp:posOffset>
                </wp:positionH>
                <wp:positionV relativeFrom="page">
                  <wp:posOffset>1626919</wp:posOffset>
                </wp:positionV>
                <wp:extent cx="6247765" cy="8158480"/>
                <wp:effectExtent l="0" t="0" r="635" b="0"/>
                <wp:wrapTopAndBottom/>
                <wp:docPr id="4041" name="Group 4041"/>
                <wp:cNvGraphicFramePr/>
                <a:graphic xmlns:a="http://schemas.openxmlformats.org/drawingml/2006/main">
                  <a:graphicData uri="http://schemas.microsoft.com/office/word/2010/wordprocessingGroup">
                    <wpg:wgp>
                      <wpg:cNvGrpSpPr/>
                      <wpg:grpSpPr>
                        <a:xfrm>
                          <a:off x="0" y="0"/>
                          <a:ext cx="6247765" cy="8158480"/>
                          <a:chOff x="647950" y="1626006"/>
                          <a:chExt cx="6248150" cy="8159403"/>
                        </a:xfrm>
                      </wpg:grpSpPr>
                      <wps:wsp>
                        <wps:cNvPr id="414" name="Rectangle 414"/>
                        <wps:cNvSpPr/>
                        <wps:spPr>
                          <a:xfrm>
                            <a:off x="647950" y="2825977"/>
                            <a:ext cx="6248150" cy="3313164"/>
                          </a:xfrm>
                          <a:prstGeom prst="rect">
                            <a:avLst/>
                          </a:prstGeom>
                          <a:ln>
                            <a:noFill/>
                          </a:ln>
                        </wps:spPr>
                        <wps:txbx>
                          <w:txbxContent>
                            <w:p w14:paraId="276AA20C" w14:textId="150F2B76" w:rsidR="00BA44AF" w:rsidRPr="00227853" w:rsidRDefault="00227853" w:rsidP="00227853">
                              <w:pPr>
                                <w:pStyle w:val="Heading1"/>
                              </w:pPr>
                              <w:r w:rsidRPr="00227853">
                                <w:t>Early indicators to monitor changes in soil health: evidence to update guidance for UK farmers</w:t>
                              </w:r>
                              <w:r w:rsidR="00BA44AF" w:rsidRPr="00227853">
                                <w:t xml:space="preserve"> </w:t>
                              </w:r>
                            </w:p>
                          </w:txbxContent>
                        </wps:txbx>
                        <wps:bodyPr horzOverflow="overflow" vert="horz" lIns="0" tIns="0" rIns="0" bIns="0" rtlCol="0">
                          <a:noAutofit/>
                        </wps:bodyPr>
                      </wps:wsp>
                      <wps:wsp>
                        <wps:cNvPr id="417" name="Rectangle 417"/>
                        <wps:cNvSpPr/>
                        <wps:spPr>
                          <a:xfrm>
                            <a:off x="647950" y="6305136"/>
                            <a:ext cx="6159208" cy="1137537"/>
                          </a:xfrm>
                          <a:prstGeom prst="rect">
                            <a:avLst/>
                          </a:prstGeom>
                          <a:noFill/>
                          <a:ln>
                            <a:noFill/>
                          </a:ln>
                        </wps:spPr>
                        <wps:txbx>
                          <w:txbxContent>
                            <w:p w14:paraId="211F9299" w14:textId="57C50EE8" w:rsidR="00BA44AF" w:rsidRDefault="00726C9F" w:rsidP="00227853">
                              <w:pPr>
                                <w:pStyle w:val="Cover-2Subheading"/>
                                <w:rPr>
                                  <w:color w:val="0082CA" w:themeColor="text1"/>
                                </w:rPr>
                              </w:pPr>
                              <w:r>
                                <w:rPr>
                                  <w:color w:val="0082CA" w:themeColor="text1"/>
                                </w:rPr>
                                <w:t>PR656</w:t>
                              </w:r>
                            </w:p>
                            <w:p w14:paraId="6BFB556E" w14:textId="77777777" w:rsidR="00227853" w:rsidRPr="00227853" w:rsidRDefault="00227853" w:rsidP="00227853">
                              <w:pPr>
                                <w:pStyle w:val="Cover-2Subheading"/>
                                <w:rPr>
                                  <w:color w:val="0082CA" w:themeColor="text1"/>
                                </w:rPr>
                              </w:pPr>
                            </w:p>
                          </w:txbxContent>
                        </wps:txbx>
                        <wps:bodyPr horzOverflow="overflow" vert="horz" lIns="0" tIns="0" rIns="0" bIns="0" rtlCol="0">
                          <a:noAutofit/>
                        </wps:bodyPr>
                      </wps:wsp>
                      <wps:wsp>
                        <wps:cNvPr id="419" name="Rectangle 419"/>
                        <wps:cNvSpPr/>
                        <wps:spPr>
                          <a:xfrm>
                            <a:off x="4248587" y="9455193"/>
                            <a:ext cx="46957" cy="158766"/>
                          </a:xfrm>
                          <a:prstGeom prst="rect">
                            <a:avLst/>
                          </a:prstGeom>
                          <a:ln>
                            <a:noFill/>
                          </a:ln>
                        </wps:spPr>
                        <wps:txbx>
                          <w:txbxContent>
                            <w:p w14:paraId="005D45E9" w14:textId="77777777" w:rsidR="00BA44AF" w:rsidRDefault="00BA44AF" w:rsidP="00BA44AF">
                              <w:pPr>
                                <w:spacing w:line="259" w:lineRule="auto"/>
                              </w:pPr>
                              <w:r>
                                <w:rPr>
                                  <w:color w:val="FFFFFF"/>
                                </w:rPr>
                                <w:t xml:space="preserve"> </w:t>
                              </w:r>
                            </w:p>
                          </w:txbxContent>
                        </wps:txbx>
                        <wps:bodyPr horzOverflow="overflow" vert="horz" lIns="0" tIns="0" rIns="0" bIns="0" rtlCol="0">
                          <a:noAutofit/>
                        </wps:bodyPr>
                      </wps:wsp>
                      <wps:wsp>
                        <wps:cNvPr id="421" name="Rectangle 421"/>
                        <wps:cNvSpPr/>
                        <wps:spPr>
                          <a:xfrm>
                            <a:off x="5038119" y="9626643"/>
                            <a:ext cx="46957" cy="158766"/>
                          </a:xfrm>
                          <a:prstGeom prst="rect">
                            <a:avLst/>
                          </a:prstGeom>
                          <a:ln>
                            <a:noFill/>
                          </a:ln>
                        </wps:spPr>
                        <wps:txbx>
                          <w:txbxContent>
                            <w:p w14:paraId="2A210AEA" w14:textId="77777777" w:rsidR="00BA44AF" w:rsidRDefault="00BA44AF" w:rsidP="00BA44AF">
                              <w:pPr>
                                <w:spacing w:line="259" w:lineRule="auto"/>
                              </w:pPr>
                              <w:r>
                                <w:rPr>
                                  <w:color w:val="FFFFFF"/>
                                </w:rPr>
                                <w:t xml:space="preserve"> </w:t>
                              </w:r>
                            </w:p>
                          </w:txbxContent>
                        </wps:txbx>
                        <wps:bodyPr horzOverflow="overflow" vert="horz" lIns="0" tIns="0" rIns="0" bIns="0" rtlCol="0">
                          <a:noAutofit/>
                        </wps:bodyPr>
                      </wps:wsp>
                      <wps:wsp>
                        <wps:cNvPr id="424" name="Shape 424"/>
                        <wps:cNvSpPr/>
                        <wps:spPr>
                          <a:xfrm>
                            <a:off x="648000" y="2073430"/>
                            <a:ext cx="1801800" cy="446151"/>
                          </a:xfrm>
                          <a:custGeom>
                            <a:avLst/>
                            <a:gdLst/>
                            <a:ahLst/>
                            <a:cxnLst/>
                            <a:rect l="0" t="0" r="0" b="0"/>
                            <a:pathLst>
                              <a:path w="1801800" h="446151">
                                <a:moveTo>
                                  <a:pt x="1801800" y="0"/>
                                </a:moveTo>
                                <a:lnTo>
                                  <a:pt x="1801800" y="219710"/>
                                </a:lnTo>
                                <a:cubicBezTo>
                                  <a:pt x="1798638" y="225158"/>
                                  <a:pt x="1710119" y="446151"/>
                                  <a:pt x="905294" y="251308"/>
                                </a:cubicBezTo>
                                <a:cubicBezTo>
                                  <a:pt x="402603" y="129629"/>
                                  <a:pt x="254838" y="179121"/>
                                  <a:pt x="0" y="258191"/>
                                </a:cubicBezTo>
                                <a:cubicBezTo>
                                  <a:pt x="21463" y="246723"/>
                                  <a:pt x="260591" y="26911"/>
                                  <a:pt x="866635" y="100355"/>
                                </a:cubicBezTo>
                                <a:cubicBezTo>
                                  <a:pt x="1421079" y="167551"/>
                                  <a:pt x="1754365" y="138709"/>
                                  <a:pt x="1801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5" name="Shape 425"/>
                        <wps:cNvSpPr/>
                        <wps:spPr>
                          <a:xfrm>
                            <a:off x="707300" y="1630692"/>
                            <a:ext cx="224098" cy="464248"/>
                          </a:xfrm>
                          <a:custGeom>
                            <a:avLst/>
                            <a:gdLst/>
                            <a:ahLst/>
                            <a:cxnLst/>
                            <a:rect l="0" t="0" r="0" b="0"/>
                            <a:pathLst>
                              <a:path w="224098" h="464248">
                                <a:moveTo>
                                  <a:pt x="185420" y="0"/>
                                </a:moveTo>
                                <a:lnTo>
                                  <a:pt x="224098" y="0"/>
                                </a:lnTo>
                                <a:lnTo>
                                  <a:pt x="224098" y="89809"/>
                                </a:lnTo>
                                <a:lnTo>
                                  <a:pt x="207608" y="129132"/>
                                </a:lnTo>
                                <a:cubicBezTo>
                                  <a:pt x="201746" y="143535"/>
                                  <a:pt x="195523" y="159220"/>
                                  <a:pt x="188938" y="176187"/>
                                </a:cubicBezTo>
                                <a:cubicBezTo>
                                  <a:pt x="175755" y="210134"/>
                                  <a:pt x="162027" y="246977"/>
                                  <a:pt x="147726" y="286728"/>
                                </a:cubicBezTo>
                                <a:lnTo>
                                  <a:pt x="224098" y="286728"/>
                                </a:lnTo>
                                <a:lnTo>
                                  <a:pt x="224098" y="355054"/>
                                </a:lnTo>
                                <a:lnTo>
                                  <a:pt x="126060" y="355054"/>
                                </a:lnTo>
                                <a:cubicBezTo>
                                  <a:pt x="119799" y="373799"/>
                                  <a:pt x="113398" y="392227"/>
                                  <a:pt x="106921" y="410324"/>
                                </a:cubicBezTo>
                                <a:cubicBezTo>
                                  <a:pt x="100419" y="428409"/>
                                  <a:pt x="94043" y="446392"/>
                                  <a:pt x="87770" y="464248"/>
                                </a:cubicBezTo>
                                <a:lnTo>
                                  <a:pt x="0" y="464248"/>
                                </a:lnTo>
                                <a:cubicBezTo>
                                  <a:pt x="17399" y="414668"/>
                                  <a:pt x="33909" y="368897"/>
                                  <a:pt x="49530" y="326923"/>
                                </a:cubicBezTo>
                                <a:cubicBezTo>
                                  <a:pt x="65164" y="284950"/>
                                  <a:pt x="80429" y="245186"/>
                                  <a:pt x="95390" y="207670"/>
                                </a:cubicBezTo>
                                <a:cubicBezTo>
                                  <a:pt x="110325" y="170167"/>
                                  <a:pt x="125171" y="134429"/>
                                  <a:pt x="139878" y="100495"/>
                                </a:cubicBezTo>
                                <a:cubicBezTo>
                                  <a:pt x="154622" y="66548"/>
                                  <a:pt x="169799" y="33058"/>
                                  <a:pt x="18542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6" name="Shape 426"/>
                        <wps:cNvSpPr/>
                        <wps:spPr>
                          <a:xfrm>
                            <a:off x="931398" y="1630692"/>
                            <a:ext cx="228137" cy="464248"/>
                          </a:xfrm>
                          <a:custGeom>
                            <a:avLst/>
                            <a:gdLst/>
                            <a:ahLst/>
                            <a:cxnLst/>
                            <a:rect l="0" t="0" r="0" b="0"/>
                            <a:pathLst>
                              <a:path w="228137" h="464248">
                                <a:moveTo>
                                  <a:pt x="0" y="0"/>
                                </a:moveTo>
                                <a:lnTo>
                                  <a:pt x="41904" y="0"/>
                                </a:lnTo>
                                <a:cubicBezTo>
                                  <a:pt x="57525" y="33058"/>
                                  <a:pt x="72701" y="66548"/>
                                  <a:pt x="87446" y="100495"/>
                                </a:cubicBezTo>
                                <a:cubicBezTo>
                                  <a:pt x="102191" y="134429"/>
                                  <a:pt x="117024" y="170167"/>
                                  <a:pt x="131985" y="207670"/>
                                </a:cubicBezTo>
                                <a:cubicBezTo>
                                  <a:pt x="146958" y="245186"/>
                                  <a:pt x="162376" y="284950"/>
                                  <a:pt x="178226" y="326923"/>
                                </a:cubicBezTo>
                                <a:cubicBezTo>
                                  <a:pt x="194075" y="368897"/>
                                  <a:pt x="210712" y="414668"/>
                                  <a:pt x="228137" y="464248"/>
                                </a:cubicBezTo>
                                <a:lnTo>
                                  <a:pt x="137014" y="464248"/>
                                </a:lnTo>
                                <a:cubicBezTo>
                                  <a:pt x="130740" y="445935"/>
                                  <a:pt x="124251" y="427863"/>
                                  <a:pt x="117532" y="409981"/>
                                </a:cubicBezTo>
                                <a:cubicBezTo>
                                  <a:pt x="110814" y="392125"/>
                                  <a:pt x="104324" y="373799"/>
                                  <a:pt x="98063" y="355054"/>
                                </a:cubicBezTo>
                                <a:lnTo>
                                  <a:pt x="0" y="355054"/>
                                </a:lnTo>
                                <a:lnTo>
                                  <a:pt x="0" y="286728"/>
                                </a:lnTo>
                                <a:lnTo>
                                  <a:pt x="76372" y="286728"/>
                                </a:lnTo>
                                <a:cubicBezTo>
                                  <a:pt x="62084" y="246977"/>
                                  <a:pt x="48254" y="209918"/>
                                  <a:pt x="34843" y="175514"/>
                                </a:cubicBezTo>
                                <a:cubicBezTo>
                                  <a:pt x="21457" y="141122"/>
                                  <a:pt x="9836" y="112547"/>
                                  <a:pt x="19" y="89764"/>
                                </a:cubicBezTo>
                                <a:lnTo>
                                  <a:pt x="0" y="8980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7" name="Shape 427"/>
                        <wps:cNvSpPr/>
                        <wps:spPr>
                          <a:xfrm>
                            <a:off x="1189871" y="1630690"/>
                            <a:ext cx="370472" cy="464248"/>
                          </a:xfrm>
                          <a:custGeom>
                            <a:avLst/>
                            <a:gdLst/>
                            <a:ahLst/>
                            <a:cxnLst/>
                            <a:rect l="0" t="0" r="0" b="0"/>
                            <a:pathLst>
                              <a:path w="370472" h="464248">
                                <a:moveTo>
                                  <a:pt x="0" y="0"/>
                                </a:moveTo>
                                <a:lnTo>
                                  <a:pt x="84417" y="0"/>
                                </a:lnTo>
                                <a:lnTo>
                                  <a:pt x="84417" y="185560"/>
                                </a:lnTo>
                                <a:lnTo>
                                  <a:pt x="286068" y="185560"/>
                                </a:lnTo>
                                <a:lnTo>
                                  <a:pt x="286068" y="0"/>
                                </a:lnTo>
                                <a:lnTo>
                                  <a:pt x="370472" y="0"/>
                                </a:lnTo>
                                <a:lnTo>
                                  <a:pt x="370472" y="464248"/>
                                </a:lnTo>
                                <a:lnTo>
                                  <a:pt x="286068" y="464248"/>
                                </a:lnTo>
                                <a:lnTo>
                                  <a:pt x="286068" y="258597"/>
                                </a:lnTo>
                                <a:lnTo>
                                  <a:pt x="84417" y="258597"/>
                                </a:lnTo>
                                <a:lnTo>
                                  <a:pt x="84417" y="464248"/>
                                </a:lnTo>
                                <a:lnTo>
                                  <a:pt x="0" y="46424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8" name="Shape 428"/>
                        <wps:cNvSpPr/>
                        <wps:spPr>
                          <a:xfrm>
                            <a:off x="1616866" y="1626007"/>
                            <a:ext cx="194939" cy="474294"/>
                          </a:xfrm>
                          <a:custGeom>
                            <a:avLst/>
                            <a:gdLst/>
                            <a:ahLst/>
                            <a:cxnLst/>
                            <a:rect l="0" t="0" r="0" b="0"/>
                            <a:pathLst>
                              <a:path w="194939" h="474294">
                                <a:moveTo>
                                  <a:pt x="132652" y="0"/>
                                </a:moveTo>
                                <a:cubicBezTo>
                                  <a:pt x="152076" y="0"/>
                                  <a:pt x="170666" y="1146"/>
                                  <a:pt x="188416" y="3435"/>
                                </a:cubicBezTo>
                                <a:lnTo>
                                  <a:pt x="194939" y="4759"/>
                                </a:lnTo>
                                <a:lnTo>
                                  <a:pt x="194939" y="79533"/>
                                </a:lnTo>
                                <a:lnTo>
                                  <a:pt x="178070" y="75661"/>
                                </a:lnTo>
                                <a:cubicBezTo>
                                  <a:pt x="165649" y="73904"/>
                                  <a:pt x="152292" y="73025"/>
                                  <a:pt x="137998" y="73025"/>
                                </a:cubicBezTo>
                                <a:cubicBezTo>
                                  <a:pt x="112979" y="73025"/>
                                  <a:pt x="95136" y="73685"/>
                                  <a:pt x="84391" y="75031"/>
                                </a:cubicBezTo>
                                <a:lnTo>
                                  <a:pt x="84391" y="399275"/>
                                </a:lnTo>
                                <a:cubicBezTo>
                                  <a:pt x="89319" y="399707"/>
                                  <a:pt x="95783" y="400037"/>
                                  <a:pt x="103822" y="400266"/>
                                </a:cubicBezTo>
                                <a:cubicBezTo>
                                  <a:pt x="111862" y="400494"/>
                                  <a:pt x="122822" y="400596"/>
                                  <a:pt x="136652" y="400596"/>
                                </a:cubicBezTo>
                                <a:cubicBezTo>
                                  <a:pt x="150832" y="400596"/>
                                  <a:pt x="164111" y="399696"/>
                                  <a:pt x="176490" y="397896"/>
                                </a:cubicBezTo>
                                <a:lnTo>
                                  <a:pt x="194939" y="393556"/>
                                </a:lnTo>
                                <a:lnTo>
                                  <a:pt x="194939" y="469152"/>
                                </a:lnTo>
                                <a:lnTo>
                                  <a:pt x="187652" y="470689"/>
                                </a:lnTo>
                                <a:cubicBezTo>
                                  <a:pt x="169729" y="473091"/>
                                  <a:pt x="150940" y="474294"/>
                                  <a:pt x="131280" y="474294"/>
                                </a:cubicBezTo>
                                <a:cubicBezTo>
                                  <a:pt x="112522" y="474294"/>
                                  <a:pt x="91313" y="473494"/>
                                  <a:pt x="67666" y="471957"/>
                                </a:cubicBezTo>
                                <a:cubicBezTo>
                                  <a:pt x="43993" y="470383"/>
                                  <a:pt x="21438" y="467157"/>
                                  <a:pt x="0" y="462229"/>
                                </a:cubicBezTo>
                                <a:lnTo>
                                  <a:pt x="0" y="11379"/>
                                </a:lnTo>
                                <a:cubicBezTo>
                                  <a:pt x="21438" y="6477"/>
                                  <a:pt x="44221" y="3340"/>
                                  <a:pt x="68313" y="2006"/>
                                </a:cubicBezTo>
                                <a:cubicBezTo>
                                  <a:pt x="92443" y="660"/>
                                  <a:pt x="113894" y="0"/>
                                  <a:pt x="13265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9" name="Shape 429"/>
                        <wps:cNvSpPr/>
                        <wps:spPr>
                          <a:xfrm>
                            <a:off x="1811805" y="1630766"/>
                            <a:ext cx="198965" cy="464393"/>
                          </a:xfrm>
                          <a:custGeom>
                            <a:avLst/>
                            <a:gdLst/>
                            <a:ahLst/>
                            <a:cxnLst/>
                            <a:rect l="0" t="0" r="0" b="0"/>
                            <a:pathLst>
                              <a:path w="198965" h="464393">
                                <a:moveTo>
                                  <a:pt x="0" y="0"/>
                                </a:moveTo>
                                <a:lnTo>
                                  <a:pt x="44202" y="8970"/>
                                </a:lnTo>
                                <a:cubicBezTo>
                                  <a:pt x="76359" y="18126"/>
                                  <a:pt x="103930" y="32414"/>
                                  <a:pt x="126956" y="51845"/>
                                </a:cubicBezTo>
                                <a:cubicBezTo>
                                  <a:pt x="149930" y="71276"/>
                                  <a:pt x="167710" y="95838"/>
                                  <a:pt x="180207" y="125530"/>
                                </a:cubicBezTo>
                                <a:cubicBezTo>
                                  <a:pt x="192716" y="155235"/>
                                  <a:pt x="198965" y="190630"/>
                                  <a:pt x="198965" y="231715"/>
                                </a:cubicBezTo>
                                <a:cubicBezTo>
                                  <a:pt x="198965" y="271910"/>
                                  <a:pt x="192716" y="306861"/>
                                  <a:pt x="180207" y="336566"/>
                                </a:cubicBezTo>
                                <a:cubicBezTo>
                                  <a:pt x="167710" y="366259"/>
                                  <a:pt x="149930" y="391049"/>
                                  <a:pt x="126956" y="410912"/>
                                </a:cubicBezTo>
                                <a:cubicBezTo>
                                  <a:pt x="103930" y="430800"/>
                                  <a:pt x="76257" y="445532"/>
                                  <a:pt x="43885" y="455133"/>
                                </a:cubicBezTo>
                                <a:lnTo>
                                  <a:pt x="0" y="464393"/>
                                </a:lnTo>
                                <a:lnTo>
                                  <a:pt x="0" y="388797"/>
                                </a:lnTo>
                                <a:lnTo>
                                  <a:pt x="15991" y="385036"/>
                                </a:lnTo>
                                <a:cubicBezTo>
                                  <a:pt x="37151" y="377835"/>
                                  <a:pt x="54712" y="367033"/>
                                  <a:pt x="68675" y="352632"/>
                                </a:cubicBezTo>
                                <a:cubicBezTo>
                                  <a:pt x="96564" y="323828"/>
                                  <a:pt x="110547" y="283531"/>
                                  <a:pt x="110547" y="231715"/>
                                </a:cubicBezTo>
                                <a:cubicBezTo>
                                  <a:pt x="110547" y="179023"/>
                                  <a:pt x="96907" y="138586"/>
                                  <a:pt x="69666" y="110455"/>
                                </a:cubicBezTo>
                                <a:cubicBezTo>
                                  <a:pt x="56045" y="96390"/>
                                  <a:pt x="38687" y="85843"/>
                                  <a:pt x="17588" y="78812"/>
                                </a:cubicBezTo>
                                <a:lnTo>
                                  <a:pt x="0" y="7477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0" name="Shape 430"/>
                        <wps:cNvSpPr/>
                        <wps:spPr>
                          <a:xfrm>
                            <a:off x="2040778" y="1626006"/>
                            <a:ext cx="174523" cy="474294"/>
                          </a:xfrm>
                          <a:custGeom>
                            <a:avLst/>
                            <a:gdLst/>
                            <a:ahLst/>
                            <a:cxnLst/>
                            <a:rect l="0" t="0" r="0" b="0"/>
                            <a:pathLst>
                              <a:path w="174523" h="474294">
                                <a:moveTo>
                                  <a:pt x="132664" y="0"/>
                                </a:moveTo>
                                <a:lnTo>
                                  <a:pt x="174523" y="3398"/>
                                </a:lnTo>
                                <a:lnTo>
                                  <a:pt x="174523" y="71652"/>
                                </a:lnTo>
                                <a:lnTo>
                                  <a:pt x="143358" y="68999"/>
                                </a:lnTo>
                                <a:cubicBezTo>
                                  <a:pt x="130416" y="68999"/>
                                  <a:pt x="118897" y="69228"/>
                                  <a:pt x="108877" y="69660"/>
                                </a:cubicBezTo>
                                <a:cubicBezTo>
                                  <a:pt x="98806" y="70104"/>
                                  <a:pt x="90221" y="70790"/>
                                  <a:pt x="83071" y="71692"/>
                                </a:cubicBezTo>
                                <a:lnTo>
                                  <a:pt x="83071" y="193599"/>
                                </a:lnTo>
                                <a:lnTo>
                                  <a:pt x="142697" y="193599"/>
                                </a:lnTo>
                                <a:lnTo>
                                  <a:pt x="174523" y="191062"/>
                                </a:lnTo>
                                <a:lnTo>
                                  <a:pt x="174523" y="261368"/>
                                </a:lnTo>
                                <a:lnTo>
                                  <a:pt x="157455" y="259918"/>
                                </a:lnTo>
                                <a:lnTo>
                                  <a:pt x="83071" y="259918"/>
                                </a:lnTo>
                                <a:lnTo>
                                  <a:pt x="83071" y="401269"/>
                                </a:lnTo>
                                <a:cubicBezTo>
                                  <a:pt x="92456" y="402171"/>
                                  <a:pt x="102502" y="402844"/>
                                  <a:pt x="113220" y="403276"/>
                                </a:cubicBezTo>
                                <a:cubicBezTo>
                                  <a:pt x="123939" y="403720"/>
                                  <a:pt x="133756" y="403949"/>
                                  <a:pt x="142697" y="403949"/>
                                </a:cubicBezTo>
                                <a:lnTo>
                                  <a:pt x="174523" y="401751"/>
                                </a:lnTo>
                                <a:lnTo>
                                  <a:pt x="174523" y="472763"/>
                                </a:lnTo>
                                <a:lnTo>
                                  <a:pt x="140017" y="474294"/>
                                </a:lnTo>
                                <a:cubicBezTo>
                                  <a:pt x="115456" y="474294"/>
                                  <a:pt x="90653" y="473494"/>
                                  <a:pt x="65659" y="471945"/>
                                </a:cubicBezTo>
                                <a:cubicBezTo>
                                  <a:pt x="40627" y="470383"/>
                                  <a:pt x="18783" y="467157"/>
                                  <a:pt x="0" y="462229"/>
                                </a:cubicBezTo>
                                <a:lnTo>
                                  <a:pt x="0" y="11379"/>
                                </a:lnTo>
                                <a:cubicBezTo>
                                  <a:pt x="9830" y="9601"/>
                                  <a:pt x="20320" y="7938"/>
                                  <a:pt x="31483" y="6363"/>
                                </a:cubicBezTo>
                                <a:cubicBezTo>
                                  <a:pt x="42659" y="4801"/>
                                  <a:pt x="54026" y="3569"/>
                                  <a:pt x="65659" y="2680"/>
                                </a:cubicBezTo>
                                <a:cubicBezTo>
                                  <a:pt x="77279" y="1791"/>
                                  <a:pt x="88773" y="1118"/>
                                  <a:pt x="100178" y="660"/>
                                </a:cubicBezTo>
                                <a:cubicBezTo>
                                  <a:pt x="111544" y="216"/>
                                  <a:pt x="122364" y="0"/>
                                  <a:pt x="13266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1" name="Shape 431"/>
                        <wps:cNvSpPr/>
                        <wps:spPr>
                          <a:xfrm>
                            <a:off x="2215302" y="1629405"/>
                            <a:ext cx="177851" cy="469365"/>
                          </a:xfrm>
                          <a:custGeom>
                            <a:avLst/>
                            <a:gdLst/>
                            <a:ahLst/>
                            <a:cxnLst/>
                            <a:rect l="0" t="0" r="0" b="0"/>
                            <a:pathLst>
                              <a:path w="177851" h="469365">
                                <a:moveTo>
                                  <a:pt x="0" y="0"/>
                                </a:moveTo>
                                <a:lnTo>
                                  <a:pt x="36513" y="2964"/>
                                </a:lnTo>
                                <a:cubicBezTo>
                                  <a:pt x="60617" y="7219"/>
                                  <a:pt x="81483" y="14242"/>
                                  <a:pt x="99149" y="24059"/>
                                </a:cubicBezTo>
                                <a:cubicBezTo>
                                  <a:pt x="116777" y="33889"/>
                                  <a:pt x="130518" y="46830"/>
                                  <a:pt x="140335" y="62921"/>
                                </a:cubicBezTo>
                                <a:cubicBezTo>
                                  <a:pt x="150190" y="78999"/>
                                  <a:pt x="155067" y="98875"/>
                                  <a:pt x="155067" y="122535"/>
                                </a:cubicBezTo>
                                <a:cubicBezTo>
                                  <a:pt x="155067" y="144430"/>
                                  <a:pt x="149822" y="163188"/>
                                  <a:pt x="139344" y="178821"/>
                                </a:cubicBezTo>
                                <a:cubicBezTo>
                                  <a:pt x="128842" y="194442"/>
                                  <a:pt x="114211" y="206952"/>
                                  <a:pt x="95466" y="216324"/>
                                </a:cubicBezTo>
                                <a:cubicBezTo>
                                  <a:pt x="123597" y="225710"/>
                                  <a:pt x="144361" y="239553"/>
                                  <a:pt x="157759" y="257866"/>
                                </a:cubicBezTo>
                                <a:cubicBezTo>
                                  <a:pt x="171158" y="276179"/>
                                  <a:pt x="177851" y="299395"/>
                                  <a:pt x="177851" y="327526"/>
                                </a:cubicBezTo>
                                <a:cubicBezTo>
                                  <a:pt x="177851" y="375328"/>
                                  <a:pt x="160439" y="411168"/>
                                  <a:pt x="125616" y="435056"/>
                                </a:cubicBezTo>
                                <a:cubicBezTo>
                                  <a:pt x="99470" y="452982"/>
                                  <a:pt x="62915" y="464179"/>
                                  <a:pt x="15941" y="468657"/>
                                </a:cubicBezTo>
                                <a:lnTo>
                                  <a:pt x="0" y="469365"/>
                                </a:lnTo>
                                <a:lnTo>
                                  <a:pt x="0" y="398353"/>
                                </a:lnTo>
                                <a:lnTo>
                                  <a:pt x="16726" y="397198"/>
                                </a:lnTo>
                                <a:cubicBezTo>
                                  <a:pt x="31699" y="394975"/>
                                  <a:pt x="44666" y="391076"/>
                                  <a:pt x="55601" y="385476"/>
                                </a:cubicBezTo>
                                <a:cubicBezTo>
                                  <a:pt x="66535" y="379900"/>
                                  <a:pt x="75235" y="372420"/>
                                  <a:pt x="81737" y="363047"/>
                                </a:cubicBezTo>
                                <a:cubicBezTo>
                                  <a:pt x="88189" y="353650"/>
                                  <a:pt x="91453" y="341610"/>
                                  <a:pt x="91453" y="326853"/>
                                </a:cubicBezTo>
                                <a:cubicBezTo>
                                  <a:pt x="91453" y="300513"/>
                                  <a:pt x="81839" y="282212"/>
                                  <a:pt x="62636" y="271925"/>
                                </a:cubicBezTo>
                                <a:cubicBezTo>
                                  <a:pt x="53035" y="266794"/>
                                  <a:pt x="41589" y="262943"/>
                                  <a:pt x="28304" y="260374"/>
                                </a:cubicBezTo>
                                <a:lnTo>
                                  <a:pt x="0" y="257970"/>
                                </a:lnTo>
                                <a:lnTo>
                                  <a:pt x="0" y="187664"/>
                                </a:lnTo>
                                <a:lnTo>
                                  <a:pt x="11214" y="186770"/>
                                </a:lnTo>
                                <a:cubicBezTo>
                                  <a:pt x="23835" y="184482"/>
                                  <a:pt x="34728" y="181050"/>
                                  <a:pt x="43891" y="176472"/>
                                </a:cubicBezTo>
                                <a:cubicBezTo>
                                  <a:pt x="62192" y="167315"/>
                                  <a:pt x="71349" y="150907"/>
                                  <a:pt x="71349" y="127234"/>
                                </a:cubicBezTo>
                                <a:cubicBezTo>
                                  <a:pt x="71349" y="104895"/>
                                  <a:pt x="61849" y="89045"/>
                                  <a:pt x="42875" y="79660"/>
                                </a:cubicBezTo>
                                <a:cubicBezTo>
                                  <a:pt x="33376" y="74973"/>
                                  <a:pt x="22463" y="71459"/>
                                  <a:pt x="10127" y="69116"/>
                                </a:cubicBezTo>
                                <a:lnTo>
                                  <a:pt x="0" y="6825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82230E1" id="Group 4041" o:spid="_x0000_s1027" style="position:absolute;left:0;text-align:left;margin-left:51.45pt;margin-top:128.1pt;width:491.95pt;height:642.4pt;z-index:251658240;mso-position-horizontal-relative:page;mso-position-vertical-relative:page;mso-width-relative:margin;mso-height-relative:margin" coordorigin="6479,16260" coordsize="62481,8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">
                <v:rect id="Rectangle 414" o:spid="_x0000_s1028" style="position:absolute;left:6479;top:28259;width:62482;height:3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276AA20C" w14:textId="150F2B76" w:rsidR="00BA44AF" w:rsidRPr="00227853" w:rsidRDefault="00227853" w:rsidP="00227853">
                        <w:pPr>
                          <w:pStyle w:val="Heading1"/>
                        </w:pPr>
                        <w:r w:rsidRPr="00227853">
                          <w:t>Early indicators to monitor changes in soil health: evidence to update guidance for UK farmers</w:t>
                        </w:r>
                        <w:r w:rsidR="00BA44AF" w:rsidRPr="00227853">
                          <w:t xml:space="preserve"> </w:t>
                        </w:r>
                      </w:p>
                    </w:txbxContent>
                  </v:textbox>
                </v:rect>
                <v:rect id="Rectangle 417" o:spid="_x0000_s1029" style="position:absolute;left:6479;top:63051;width:61592;height:1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FnxgAAANwAAAAPAAAAZHJzL2Rvd25yZXYueG1sRI9Ba8JA&#10;FITvBf/D8gRvdaNI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qGVBZ8YAAADcAAAA&#10;DwAAAAAAAAAAAAAAAAAHAgAAZHJzL2Rvd25yZXYueG1sUEsFBgAAAAADAAMAtwAAAPoCAAAAAA==&#10;" filled="f" stroked="f">
                  <v:textbox inset="0,0,0,0">
                    <w:txbxContent>
                      <w:p w14:paraId="211F9299" w14:textId="57C50EE8" w:rsidR="00BA44AF" w:rsidRDefault="00726C9F" w:rsidP="00227853">
                        <w:pPr>
                          <w:pStyle w:val="Cover-2Subheading"/>
                          <w:rPr>
                            <w:color w:val="0082CA" w:themeColor="text1"/>
                          </w:rPr>
                        </w:pPr>
                        <w:r>
                          <w:rPr>
                            <w:color w:val="0082CA" w:themeColor="text1"/>
                          </w:rPr>
                          <w:t>PR656</w:t>
                        </w:r>
                      </w:p>
                      <w:p w14:paraId="6BFB556E" w14:textId="77777777" w:rsidR="00227853" w:rsidRPr="00227853" w:rsidRDefault="00227853" w:rsidP="00227853">
                        <w:pPr>
                          <w:pStyle w:val="Cover-2Subheading"/>
                          <w:rPr>
                            <w:color w:val="0082CA" w:themeColor="text1"/>
                          </w:rPr>
                        </w:pPr>
                      </w:p>
                    </w:txbxContent>
                  </v:textbox>
                </v:rect>
                <v:rect id="Rectangle 419" o:spid="_x0000_s1030" style="position:absolute;left:42485;top:94551;width:470;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005D45E9" w14:textId="77777777" w:rsidR="00BA44AF" w:rsidRDefault="00BA44AF" w:rsidP="00BA44AF">
                        <w:pPr>
                          <w:spacing w:line="259" w:lineRule="auto"/>
                        </w:pPr>
                        <w:r>
                          <w:rPr>
                            <w:color w:val="FFFFFF"/>
                          </w:rPr>
                          <w:t xml:space="preserve"> </w:t>
                        </w:r>
                      </w:p>
                    </w:txbxContent>
                  </v:textbox>
                </v:rect>
                <v:rect id="Rectangle 421" o:spid="_x0000_s1031" style="position:absolute;left:50381;top:96266;width:469;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2A210AEA" w14:textId="77777777" w:rsidR="00BA44AF" w:rsidRDefault="00BA44AF" w:rsidP="00BA44AF">
                        <w:pPr>
                          <w:spacing w:line="259" w:lineRule="auto"/>
                        </w:pPr>
                        <w:r>
                          <w:rPr>
                            <w:color w:val="FFFFFF"/>
                          </w:rPr>
                          <w:t xml:space="preserve"> </w:t>
                        </w:r>
                      </w:p>
                    </w:txbxContent>
                  </v:textbox>
                </v:rect>
                <v:shape id="Shape 424" o:spid="_x0000_s1032" style="position:absolute;left:6480;top:20734;width:18018;height:4461;visibility:visible;mso-wrap-style:square;v-text-anchor:top" coordsize="1801800,44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" path="m1801800,r,219710c1798638,225158,1710119,446151,905294,251308,402603,129629,254838,179121,,258191,21463,246723,260591,26911,866635,100355,1421079,167551,1754365,138709,1801800,xe" stroked="f" strokeweight="0">
                  <v:stroke miterlimit="83231f" joinstyle="miter"/>
                  <v:path arrowok="t" textboxrect="0,0,1801800,446151"/>
                </v:shape>
                <v:shape id="Shape 425" o:spid="_x0000_s1033" style="position:absolute;left:7073;top:16306;width:2240;height:4643;visibility:visible;mso-wrap-style:square;v-text-anchor:top" coordsize="224098,46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" path="m185420,r38678,l224098,89809r-16490,39323c201746,143535,195523,159220,188938,176187v-13183,33947,-26911,70790,-41212,110541l224098,286728r,68326l126060,355054v-6261,18745,-12662,37173,-19139,55270c100419,428409,94043,446392,87770,464248l,464248c17399,414668,33909,368897,49530,326923,65164,284950,80429,245186,95390,207670v14935,-37503,29781,-73241,44488,-107175c154622,66548,169799,33058,185420,xe" stroked="f" strokeweight="0">
                  <v:stroke miterlimit="83231f" joinstyle="miter"/>
                  <v:path arrowok="t" textboxrect="0,0,224098,464248"/>
                </v:shape>
                <v:shape id="Shape 426" o:spid="_x0000_s1034" style="position:absolute;left:9313;top:16306;width:2282;height:4643;visibility:visible;mso-wrap-style:square;v-text-anchor:top" coordsize="228137,46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" path="m,l41904,c57525,33058,72701,66548,87446,100495v14745,33934,29578,69672,44539,107175c146958,245186,162376,284950,178226,326923v15849,41974,32486,87745,49911,137325l137014,464248v-6274,-18313,-12763,-36385,-19482,-54267c110814,392125,104324,373799,98063,355054l,355054,,286728r76372,c62084,246977,48254,209918,34843,175514,21457,141122,9836,112547,19,89764l,89809,,xe" stroked="f" strokeweight="0">
                  <v:stroke miterlimit="83231f" joinstyle="miter"/>
                  <v:path arrowok="t" textboxrect="0,0,228137,464248"/>
                </v:shape>
                <v:shape id="Shape 427" o:spid="_x0000_s1035" style="position:absolute;left:11898;top:16306;width:3705;height:4643;visibility:visible;mso-wrap-style:square;v-text-anchor:top" coordsize="370472,464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" path="m,l84417,r,185560l286068,185560,286068,r84404,l370472,464248r-84404,l286068,258597r-201651,l84417,464248,,464248,,xe" stroked="f" strokeweight="0">
                  <v:stroke miterlimit="83231f" joinstyle="miter"/>
                  <v:path arrowok="t" textboxrect="0,0,370472,464248"/>
                </v:shape>
                <v:shape id="Shape 428" o:spid="_x0000_s1036" style="position:absolute;left:16168;top:16260;width:1950;height:4743;visibility:visible;mso-wrap-style:square;v-text-anchor:top" coordsize="194939,474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" path="m132652,v19424,,38014,1146,55764,3435l194939,4759r,74774l178070,75661c165649,73904,152292,73025,137998,73025v-25019,,-42862,660,-53607,2006l84391,399275v4928,432,11392,762,19431,991c111862,400494,122822,400596,136652,400596v14180,,27459,-900,39838,-2700l194939,393556r,75596l187652,470689v-17923,2402,-36712,3605,-56372,3605c112522,474294,91313,473494,67666,471957,43993,470383,21438,467157,,462229l,11379c21438,6477,44221,3340,68313,2006,92443,660,113894,,132652,xe" stroked="f" strokeweight="0">
                  <v:stroke miterlimit="83231f" joinstyle="miter"/>
                  <v:path arrowok="t" textboxrect="0,0,194939,474294"/>
                </v:shape>
                <v:shape id="Shape 429" o:spid="_x0000_s1037" style="position:absolute;left:18118;top:16307;width:1989;height:4644;visibility:visible;mso-wrap-style:square;v-text-anchor:top" coordsize="198965,464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" path="m,l44202,8970v32157,9156,59728,23444,82754,42875c149930,71276,167710,95838,180207,125530v12509,29705,18758,65100,18758,106185c198965,271910,192716,306861,180207,336566v-12497,29693,-30277,54483,-53251,74346c103930,430800,76257,445532,43885,455133l,464393,,388797r15991,-3761c37151,377835,54712,367033,68675,352632v27889,-28804,41872,-69101,41872,-120917c110547,179023,96907,138586,69666,110455,56045,96390,38687,85843,17588,78812l,74774,,xe" stroked="f" strokeweight="0">
                  <v:stroke miterlimit="83231f" joinstyle="miter"/>
                  <v:path arrowok="t" textboxrect="0,0,198965,464393"/>
                </v:shape>
                <v:shape id="Shape 430" o:spid="_x0000_s1038" style="position:absolute;left:20407;top:16260;width:1746;height:4743;visibility:visible;mso-wrap-style:square;v-text-anchor:top" coordsize="174523,474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" path="m132664,r41859,3398l174523,71652,143358,68999v-12942,,-24461,229,-34481,661c98806,70104,90221,70790,83071,71692r,121907l142697,193599r31826,-2537l174523,261368r-17068,-1450l83071,259918r,141351c92456,402171,102502,402844,113220,403276v10719,444,20536,673,29477,673l174523,401751r,71012l140017,474294v-24561,,-49364,-800,-74358,-2349c40627,470383,18783,467157,,462229l,11379c9830,9601,20320,7938,31483,6363,42659,4801,54026,3569,65659,2680,77279,1791,88773,1118,100178,660,111544,216,122364,,132664,xe" stroked="f" strokeweight="0">
                  <v:stroke miterlimit="83231f" joinstyle="miter"/>
                  <v:path arrowok="t" textboxrect="0,0,174523,474294"/>
                </v:shape>
                <v:shape id="Shape 431" o:spid="_x0000_s1039" style="position:absolute;left:22153;top:16294;width:1778;height:4693;visibility:visible;mso-wrap-style:square;v-text-anchor:top" coordsize="177851,469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" path="m,l36513,2964c60617,7219,81483,14242,99149,24059v17628,9830,31369,22771,41186,38862c150190,78999,155067,98875,155067,122535v,21895,-5245,40653,-15723,56286c128842,194442,114211,206952,95466,216324v28131,9386,48895,23229,62293,41542c171158,276179,177851,299395,177851,327526v,47802,-17412,83642,-52235,107530c99470,452982,62915,464179,15941,468657l,469365,,398353r16726,-1155c31699,394975,44666,391076,55601,385476v10934,-5576,19634,-13056,26136,-22429c88189,353650,91453,341610,91453,326853v,-26340,-9614,-44641,-28817,-54928c53035,266794,41589,262943,28304,260374l,257970,,187664r11214,-894c23835,184482,34728,181050,43891,176472v18301,-9157,27458,-25565,27458,-49238c71349,104895,61849,89045,42875,79660,33376,74973,22463,71459,10127,69116l,68254,,xe" stroked="f" strokeweight="0">
                  <v:stroke miterlimit="83231f" joinstyle="miter"/>
                  <v:path arrowok="t" textboxrect="0,0,177851,469365"/>
                </v:shape>
                <w10:wrap type="topAndBottom" anchorx="page" anchory="page"/>
              </v:group>
            </w:pict>
          </mc:Fallback>
        </mc:AlternateContent>
      </w:r>
      <w:r w:rsidR="008F0BE3" w:rsidRPr="00EB1D71">
        <w:rPr>
          <w:rFonts w:asciiTheme="minorHAnsi" w:hAnsiTheme="minorHAnsi" w:cstheme="minorHAnsi"/>
          <w:noProof/>
        </w:rPr>
        <w:drawing>
          <wp:anchor distT="0" distB="0" distL="114300" distR="114300" simplePos="0" relativeHeight="251658243" behindDoc="0" locked="0" layoutInCell="1" allowOverlap="1" wp14:anchorId="55361B7C" wp14:editId="2214E127">
            <wp:simplePos x="0" y="0"/>
            <wp:positionH relativeFrom="column">
              <wp:posOffset>-261398</wp:posOffset>
            </wp:positionH>
            <wp:positionV relativeFrom="page">
              <wp:posOffset>1619250</wp:posOffset>
            </wp:positionV>
            <wp:extent cx="1837433" cy="793115"/>
            <wp:effectExtent l="0" t="0" r="0" b="6985"/>
            <wp:wrapNone/>
            <wp:docPr id="916226289" name="Pictur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26289" name="Picture 79">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7433" cy="793115"/>
                    </a:xfrm>
                    <a:prstGeom prst="rect">
                      <a:avLst/>
                    </a:prstGeom>
                  </pic:spPr>
                </pic:pic>
              </a:graphicData>
            </a:graphic>
            <wp14:sizeRelH relativeFrom="page">
              <wp14:pctWidth>0</wp14:pctWidth>
            </wp14:sizeRelH>
            <wp14:sizeRelV relativeFrom="page">
              <wp14:pctHeight>0</wp14:pctHeight>
            </wp14:sizeRelV>
          </wp:anchor>
        </w:drawing>
      </w:r>
      <w:r w:rsidR="00AC4009" w:rsidRPr="00EB1D71">
        <w:rPr>
          <w:rFonts w:asciiTheme="minorHAnsi" w:eastAsia="Calibri" w:hAnsiTheme="minorHAnsi" w:cstheme="minorHAnsi"/>
          <w:noProof/>
          <w:color w:val="000000"/>
          <w:sz w:val="22"/>
        </w:rPr>
        <mc:AlternateContent>
          <mc:Choice Requires="wps">
            <w:drawing>
              <wp:anchor distT="0" distB="0" distL="114300" distR="114300" simplePos="0" relativeHeight="251658241" behindDoc="0" locked="0" layoutInCell="1" allowOverlap="1" wp14:anchorId="6C23A3D7" wp14:editId="160E5DDA">
                <wp:simplePos x="0" y="0"/>
                <wp:positionH relativeFrom="column">
                  <wp:posOffset>-309191</wp:posOffset>
                </wp:positionH>
                <wp:positionV relativeFrom="paragraph">
                  <wp:posOffset>8440015</wp:posOffset>
                </wp:positionV>
                <wp:extent cx="5871330" cy="1143000"/>
                <wp:effectExtent l="0" t="0" r="0" b="0"/>
                <wp:wrapNone/>
                <wp:docPr id="782708137" name="Text Box 2"/>
                <wp:cNvGraphicFramePr/>
                <a:graphic xmlns:a="http://schemas.openxmlformats.org/drawingml/2006/main">
                  <a:graphicData uri="http://schemas.microsoft.com/office/word/2010/wordprocessingShape">
                    <wps:wsp>
                      <wps:cNvSpPr txBox="1"/>
                      <wps:spPr>
                        <a:xfrm>
                          <a:off x="0" y="0"/>
                          <a:ext cx="5871330" cy="1143000"/>
                        </a:xfrm>
                        <a:prstGeom prst="rect">
                          <a:avLst/>
                        </a:prstGeom>
                        <a:noFill/>
                        <a:ln w="6350">
                          <a:noFill/>
                        </a:ln>
                      </wps:spPr>
                      <wps:txbx>
                        <w:txbxContent>
                          <w:p w14:paraId="053C2AB9" w14:textId="77777777" w:rsidR="00250F43" w:rsidRPr="008F0BE3" w:rsidRDefault="00250F43" w:rsidP="00441F0C">
                            <w:pPr>
                              <w:pStyle w:val="Cover-3bodytext"/>
                              <w:rPr>
                                <w:color w:val="0090D4"/>
                              </w:rPr>
                            </w:pPr>
                            <w:r w:rsidRPr="008F0BE3">
                              <w:rPr>
                                <w:color w:val="0090D4"/>
                              </w:rPr>
                              <w:t xml:space="preserve">Any enquiries regarding this publication should be sent to us at: </w:t>
                            </w:r>
                            <w:r w:rsidRPr="008F0BE3">
                              <w:rPr>
                                <w:color w:val="0090D4"/>
                              </w:rPr>
                              <w:br/>
                              <w:t xml:space="preserve">AHDB, Siskin Parkway East, Middlemarch Business Park, Coventry CV3 4PE </w:t>
                            </w:r>
                            <w:r w:rsidRPr="008F0BE3">
                              <w:rPr>
                                <w:color w:val="0090D4"/>
                              </w:rPr>
                              <w:br/>
                              <w:t>Email: info@ahdb.org.uk</w:t>
                            </w:r>
                          </w:p>
                          <w:p w14:paraId="703FC16A" w14:textId="53E935CF" w:rsidR="00250F43" w:rsidRPr="008F0BE3" w:rsidRDefault="006438AE" w:rsidP="00441F0C">
                            <w:pPr>
                              <w:pStyle w:val="Cover-3bodytext"/>
                              <w:rPr>
                                <w:color w:val="0090D4"/>
                              </w:rPr>
                            </w:pPr>
                            <w:r w:rsidRPr="008F0BE3">
                              <w:rPr>
                                <w:color w:val="0090D4"/>
                              </w:rPr>
                              <w:t>Ma</w:t>
                            </w:r>
                            <w:r w:rsidR="00227853">
                              <w:rPr>
                                <w:color w:val="0090D4"/>
                              </w:rPr>
                              <w:t>y</w:t>
                            </w:r>
                            <w:r w:rsidRPr="008F0BE3">
                              <w:rPr>
                                <w:color w:val="0090D4"/>
                              </w:rPr>
                              <w:t xml:space="preserve"> 202</w:t>
                            </w:r>
                            <w:r w:rsidR="00227853">
                              <w:rPr>
                                <w:color w:val="0090D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23A3D7" id="_x0000_s1040" type="#_x0000_t202" style="position:absolute;left:0;text-align:left;margin-left:-24.35pt;margin-top:664.55pt;width:462.3pt;height:90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" filled="f" stroked="f" strokeweight=".5pt">
                <v:textbox>
                  <w:txbxContent>
                    <w:p w14:paraId="053C2AB9" w14:textId="77777777" w:rsidR="00250F43" w:rsidRPr="008F0BE3" w:rsidRDefault="00250F43" w:rsidP="00441F0C">
                      <w:pPr>
                        <w:pStyle w:val="Cover-3bodytext"/>
                        <w:rPr>
                          <w:color w:val="0090D4"/>
                        </w:rPr>
                      </w:pPr>
                      <w:r w:rsidRPr="008F0BE3">
                        <w:rPr>
                          <w:color w:val="0090D4"/>
                        </w:rPr>
                        <w:t xml:space="preserve">Any enquiries regarding this publication should be sent to us at: </w:t>
                      </w:r>
                      <w:r w:rsidRPr="008F0BE3">
                        <w:rPr>
                          <w:color w:val="0090D4"/>
                        </w:rPr>
                        <w:br/>
                        <w:t xml:space="preserve">AHDB, Siskin Parkway East, Middlemarch Business Park, Coventry CV3 4PE </w:t>
                      </w:r>
                      <w:r w:rsidRPr="008F0BE3">
                        <w:rPr>
                          <w:color w:val="0090D4"/>
                        </w:rPr>
                        <w:br/>
                        <w:t>Email: info@ahdb.org.uk</w:t>
                      </w:r>
                    </w:p>
                    <w:p w14:paraId="703FC16A" w14:textId="53E935CF" w:rsidR="00250F43" w:rsidRPr="008F0BE3" w:rsidRDefault="006438AE" w:rsidP="00441F0C">
                      <w:pPr>
                        <w:pStyle w:val="Cover-3bodytext"/>
                        <w:rPr>
                          <w:color w:val="0090D4"/>
                        </w:rPr>
                      </w:pPr>
                      <w:r w:rsidRPr="008F0BE3">
                        <w:rPr>
                          <w:color w:val="0090D4"/>
                        </w:rPr>
                        <w:t>Ma</w:t>
                      </w:r>
                      <w:r w:rsidR="00227853">
                        <w:rPr>
                          <w:color w:val="0090D4"/>
                        </w:rPr>
                        <w:t>y</w:t>
                      </w:r>
                      <w:r w:rsidRPr="008F0BE3">
                        <w:rPr>
                          <w:color w:val="0090D4"/>
                        </w:rPr>
                        <w:t xml:space="preserve"> 202</w:t>
                      </w:r>
                      <w:r w:rsidR="00227853">
                        <w:rPr>
                          <w:color w:val="0090D4"/>
                        </w:rPr>
                        <w:t>6</w:t>
                      </w:r>
                    </w:p>
                  </w:txbxContent>
                </v:textbox>
              </v:shape>
            </w:pict>
          </mc:Fallback>
        </mc:AlternateContent>
      </w:r>
      <w:r w:rsidR="00BA44AF" w:rsidRPr="00EB1D71">
        <w:rPr>
          <w:rFonts w:asciiTheme="minorHAnsi" w:hAnsiTheme="minorHAnsi" w:cstheme="minorHAnsi"/>
        </w:rPr>
        <w:br w:type="page"/>
      </w:r>
    </w:p>
    <w:p w14:paraId="2BE1BDD6" w14:textId="120B42C2" w:rsidR="007508D5" w:rsidRPr="00EB1D71" w:rsidRDefault="007508D5" w:rsidP="00441F0C">
      <w:pPr>
        <w:pStyle w:val="Cover-1heading"/>
        <w:rPr>
          <w:rFonts w:asciiTheme="minorHAnsi" w:hAnsiTheme="minorHAnsi" w:cstheme="minorHAnsi"/>
        </w:rPr>
        <w:sectPr w:rsidR="007508D5" w:rsidRPr="00EB1D71" w:rsidSect="00D60ED0">
          <w:headerReference w:type="even" r:id="rId13"/>
          <w:headerReference w:type="default" r:id="rId14"/>
          <w:footerReference w:type="even" r:id="rId15"/>
          <w:footerReference w:type="default" r:id="rId16"/>
          <w:headerReference w:type="first" r:id="rId17"/>
          <w:pgSz w:w="11906" w:h="16838"/>
          <w:pgMar w:top="1418" w:right="1418" w:bottom="1418" w:left="1418" w:header="709" w:footer="468" w:gutter="0"/>
          <w:cols w:space="708"/>
          <w:docGrid w:linePitch="360"/>
        </w:sectPr>
      </w:pPr>
    </w:p>
    <w:p w14:paraId="6738E98C" w14:textId="2DE11E5D" w:rsidR="00661E94" w:rsidRPr="00EB1D71" w:rsidRDefault="00661E94" w:rsidP="00661E94">
      <w:pPr>
        <w:pStyle w:val="Heading2"/>
        <w:rPr>
          <w:rFonts w:asciiTheme="minorHAnsi" w:hAnsiTheme="minorHAnsi" w:cstheme="minorHAnsi"/>
        </w:rPr>
      </w:pPr>
      <w:bookmarkStart w:id="0" w:name="_Toc234580956"/>
      <w:r w:rsidRPr="00EB1D71">
        <w:rPr>
          <w:rFonts w:asciiTheme="minorHAnsi" w:hAnsiTheme="minorHAnsi" w:cstheme="minorHAnsi"/>
        </w:rPr>
        <w:lastRenderedPageBreak/>
        <w:t>Contents</w:t>
      </w:r>
      <w:bookmarkEnd w:id="0"/>
    </w:p>
    <w:p w14:paraId="7C8D365F" w14:textId="605C5A42" w:rsidR="00E125D7" w:rsidRDefault="00227853">
      <w:pPr>
        <w:pStyle w:val="TOC1"/>
        <w:tabs>
          <w:tab w:val="right" w:leader="dot" w:pos="9060"/>
        </w:tabs>
        <w:rPr>
          <w:rFonts w:asciiTheme="minorHAnsi" w:hAnsiTheme="minorHAnsi"/>
          <w:noProof/>
          <w:color w:val="auto"/>
          <w:kern w:val="2"/>
          <w:sz w:val="24"/>
          <w:lang w:eastAsia="en-GB"/>
          <w14:ligatures w14:val="standardContextual"/>
        </w:rPr>
      </w:pPr>
      <w:r w:rsidRPr="00EB1D71">
        <w:rPr>
          <w:rFonts w:asciiTheme="minorHAnsi" w:hAnsiTheme="minorHAnsi" w:cstheme="minorHAnsi"/>
        </w:rPr>
        <w:fldChar w:fldCharType="begin"/>
      </w:r>
      <w:r w:rsidRPr="00EB1D71">
        <w:rPr>
          <w:rFonts w:asciiTheme="minorHAnsi" w:hAnsiTheme="minorHAnsi" w:cstheme="minorHAnsi"/>
        </w:rPr>
        <w:instrText xml:space="preserve"> TOC \h \z \t "Heading 2,1,Heading 3,2,Heading 2 - Numbered,1" </w:instrText>
      </w:r>
      <w:r w:rsidRPr="00EB1D71">
        <w:rPr>
          <w:rFonts w:asciiTheme="minorHAnsi" w:hAnsiTheme="minorHAnsi" w:cstheme="minorHAnsi"/>
        </w:rPr>
        <w:fldChar w:fldCharType="separate"/>
      </w:r>
      <w:hyperlink w:anchor="_Toc234580956" w:history="1">
        <w:r w:rsidR="00E125D7" w:rsidRPr="00033F23">
          <w:rPr>
            <w:rStyle w:val="Hyperlink"/>
            <w:rFonts w:cstheme="minorHAnsi"/>
            <w:noProof/>
          </w:rPr>
          <w:t>Contents</w:t>
        </w:r>
        <w:r w:rsidR="00E125D7">
          <w:rPr>
            <w:noProof/>
            <w:webHidden/>
          </w:rPr>
          <w:tab/>
        </w:r>
        <w:r w:rsidR="00E125D7">
          <w:rPr>
            <w:noProof/>
            <w:webHidden/>
          </w:rPr>
          <w:fldChar w:fldCharType="begin"/>
        </w:r>
        <w:r w:rsidR="00E125D7">
          <w:rPr>
            <w:noProof/>
            <w:webHidden/>
          </w:rPr>
          <w:instrText xml:space="preserve"> PAGEREF _Toc234580956 \h </w:instrText>
        </w:r>
        <w:r w:rsidR="00E125D7">
          <w:rPr>
            <w:noProof/>
            <w:webHidden/>
          </w:rPr>
        </w:r>
        <w:r w:rsidR="00E125D7">
          <w:rPr>
            <w:noProof/>
            <w:webHidden/>
          </w:rPr>
          <w:fldChar w:fldCharType="separate"/>
        </w:r>
        <w:r w:rsidR="00E125D7">
          <w:rPr>
            <w:noProof/>
            <w:webHidden/>
          </w:rPr>
          <w:t>2</w:t>
        </w:r>
        <w:r w:rsidR="00E125D7">
          <w:rPr>
            <w:noProof/>
            <w:webHidden/>
          </w:rPr>
          <w:fldChar w:fldCharType="end"/>
        </w:r>
      </w:hyperlink>
    </w:p>
    <w:p w14:paraId="506BCAD4" w14:textId="53FDA238" w:rsidR="00E125D7" w:rsidRDefault="00E125D7">
      <w:pPr>
        <w:pStyle w:val="TOC1"/>
        <w:tabs>
          <w:tab w:val="right" w:leader="dot" w:pos="9060"/>
        </w:tabs>
        <w:rPr>
          <w:rFonts w:asciiTheme="minorHAnsi" w:hAnsiTheme="minorHAnsi"/>
          <w:noProof/>
          <w:color w:val="auto"/>
          <w:kern w:val="2"/>
          <w:sz w:val="24"/>
          <w:lang w:eastAsia="en-GB"/>
          <w14:ligatures w14:val="standardContextual"/>
        </w:rPr>
      </w:pPr>
      <w:hyperlink w:anchor="_Toc234580957" w:history="1">
        <w:r w:rsidRPr="00033F23">
          <w:rPr>
            <w:rStyle w:val="Hyperlink"/>
            <w:rFonts w:cstheme="minorHAnsi"/>
            <w:noProof/>
          </w:rPr>
          <w:t>Abstract</w:t>
        </w:r>
        <w:r>
          <w:rPr>
            <w:noProof/>
            <w:webHidden/>
          </w:rPr>
          <w:tab/>
        </w:r>
        <w:r>
          <w:rPr>
            <w:noProof/>
            <w:webHidden/>
          </w:rPr>
          <w:fldChar w:fldCharType="begin"/>
        </w:r>
        <w:r>
          <w:rPr>
            <w:noProof/>
            <w:webHidden/>
          </w:rPr>
          <w:instrText xml:space="preserve"> PAGEREF _Toc234580957 \h </w:instrText>
        </w:r>
        <w:r>
          <w:rPr>
            <w:noProof/>
            <w:webHidden/>
          </w:rPr>
        </w:r>
        <w:r>
          <w:rPr>
            <w:noProof/>
            <w:webHidden/>
          </w:rPr>
          <w:fldChar w:fldCharType="separate"/>
        </w:r>
        <w:r>
          <w:rPr>
            <w:noProof/>
            <w:webHidden/>
          </w:rPr>
          <w:t>3</w:t>
        </w:r>
        <w:r>
          <w:rPr>
            <w:noProof/>
            <w:webHidden/>
          </w:rPr>
          <w:fldChar w:fldCharType="end"/>
        </w:r>
      </w:hyperlink>
    </w:p>
    <w:p w14:paraId="52510BA5" w14:textId="2C8394CE" w:rsidR="00E125D7" w:rsidRDefault="00E125D7">
      <w:pPr>
        <w:pStyle w:val="TOC1"/>
        <w:tabs>
          <w:tab w:val="right" w:leader="dot" w:pos="9060"/>
        </w:tabs>
        <w:rPr>
          <w:rFonts w:asciiTheme="minorHAnsi" w:hAnsiTheme="minorHAnsi"/>
          <w:noProof/>
          <w:color w:val="auto"/>
          <w:kern w:val="2"/>
          <w:sz w:val="24"/>
          <w:lang w:eastAsia="en-GB"/>
          <w14:ligatures w14:val="standardContextual"/>
        </w:rPr>
      </w:pPr>
      <w:hyperlink w:anchor="_Toc234580958" w:history="1">
        <w:r w:rsidRPr="00033F23">
          <w:rPr>
            <w:rStyle w:val="Hyperlink"/>
            <w:rFonts w:cstheme="minorHAnsi"/>
            <w:noProof/>
          </w:rPr>
          <w:t>Acronyms</w:t>
        </w:r>
        <w:r>
          <w:rPr>
            <w:noProof/>
            <w:webHidden/>
          </w:rPr>
          <w:tab/>
        </w:r>
        <w:r>
          <w:rPr>
            <w:noProof/>
            <w:webHidden/>
          </w:rPr>
          <w:fldChar w:fldCharType="begin"/>
        </w:r>
        <w:r>
          <w:rPr>
            <w:noProof/>
            <w:webHidden/>
          </w:rPr>
          <w:instrText xml:space="preserve"> PAGEREF _Toc234580958 \h </w:instrText>
        </w:r>
        <w:r>
          <w:rPr>
            <w:noProof/>
            <w:webHidden/>
          </w:rPr>
        </w:r>
        <w:r>
          <w:rPr>
            <w:noProof/>
            <w:webHidden/>
          </w:rPr>
          <w:fldChar w:fldCharType="separate"/>
        </w:r>
        <w:r>
          <w:rPr>
            <w:noProof/>
            <w:webHidden/>
          </w:rPr>
          <w:t>4</w:t>
        </w:r>
        <w:r>
          <w:rPr>
            <w:noProof/>
            <w:webHidden/>
          </w:rPr>
          <w:fldChar w:fldCharType="end"/>
        </w:r>
      </w:hyperlink>
    </w:p>
    <w:p w14:paraId="0A38909C" w14:textId="77C9CE99" w:rsidR="00E125D7" w:rsidRDefault="00E125D7">
      <w:pPr>
        <w:pStyle w:val="TOC1"/>
        <w:tabs>
          <w:tab w:val="right" w:leader="dot" w:pos="9060"/>
        </w:tabs>
        <w:rPr>
          <w:rFonts w:asciiTheme="minorHAnsi" w:hAnsiTheme="minorHAnsi"/>
          <w:noProof/>
          <w:color w:val="auto"/>
          <w:kern w:val="2"/>
          <w:sz w:val="24"/>
          <w:lang w:eastAsia="en-GB"/>
          <w14:ligatures w14:val="standardContextual"/>
        </w:rPr>
      </w:pPr>
      <w:hyperlink w:anchor="_Toc234580959" w:history="1">
        <w:r w:rsidRPr="00033F23">
          <w:rPr>
            <w:rStyle w:val="Hyperlink"/>
            <w:rFonts w:cstheme="minorHAnsi"/>
            <w:noProof/>
          </w:rPr>
          <w:t>Introduction</w:t>
        </w:r>
        <w:r>
          <w:rPr>
            <w:noProof/>
            <w:webHidden/>
          </w:rPr>
          <w:tab/>
        </w:r>
        <w:r>
          <w:rPr>
            <w:noProof/>
            <w:webHidden/>
          </w:rPr>
          <w:fldChar w:fldCharType="begin"/>
        </w:r>
        <w:r>
          <w:rPr>
            <w:noProof/>
            <w:webHidden/>
          </w:rPr>
          <w:instrText xml:space="preserve"> PAGEREF _Toc234580959 \h </w:instrText>
        </w:r>
        <w:r>
          <w:rPr>
            <w:noProof/>
            <w:webHidden/>
          </w:rPr>
        </w:r>
        <w:r>
          <w:rPr>
            <w:noProof/>
            <w:webHidden/>
          </w:rPr>
          <w:fldChar w:fldCharType="separate"/>
        </w:r>
        <w:r>
          <w:rPr>
            <w:noProof/>
            <w:webHidden/>
          </w:rPr>
          <w:t>5</w:t>
        </w:r>
        <w:r>
          <w:rPr>
            <w:noProof/>
            <w:webHidden/>
          </w:rPr>
          <w:fldChar w:fldCharType="end"/>
        </w:r>
      </w:hyperlink>
    </w:p>
    <w:p w14:paraId="37107814" w14:textId="08B26A90"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60" w:history="1">
        <w:r w:rsidRPr="00033F23">
          <w:rPr>
            <w:rStyle w:val="Hyperlink"/>
            <w:rFonts w:cstheme="minorHAnsi"/>
            <w:noProof/>
          </w:rPr>
          <w:t>Project structure</w:t>
        </w:r>
        <w:r>
          <w:rPr>
            <w:noProof/>
            <w:webHidden/>
          </w:rPr>
          <w:tab/>
        </w:r>
        <w:r>
          <w:rPr>
            <w:noProof/>
            <w:webHidden/>
          </w:rPr>
          <w:fldChar w:fldCharType="begin"/>
        </w:r>
        <w:r>
          <w:rPr>
            <w:noProof/>
            <w:webHidden/>
          </w:rPr>
          <w:instrText xml:space="preserve"> PAGEREF _Toc234580960 \h </w:instrText>
        </w:r>
        <w:r>
          <w:rPr>
            <w:noProof/>
            <w:webHidden/>
          </w:rPr>
        </w:r>
        <w:r>
          <w:rPr>
            <w:noProof/>
            <w:webHidden/>
          </w:rPr>
          <w:fldChar w:fldCharType="separate"/>
        </w:r>
        <w:r>
          <w:rPr>
            <w:noProof/>
            <w:webHidden/>
          </w:rPr>
          <w:t>8</w:t>
        </w:r>
        <w:r>
          <w:rPr>
            <w:noProof/>
            <w:webHidden/>
          </w:rPr>
          <w:fldChar w:fldCharType="end"/>
        </w:r>
      </w:hyperlink>
    </w:p>
    <w:p w14:paraId="0DDB7514" w14:textId="2D3E560D" w:rsidR="00E125D7" w:rsidRDefault="00E125D7">
      <w:pPr>
        <w:pStyle w:val="TOC1"/>
        <w:tabs>
          <w:tab w:val="right" w:leader="dot" w:pos="9060"/>
        </w:tabs>
        <w:rPr>
          <w:rFonts w:asciiTheme="minorHAnsi" w:hAnsiTheme="minorHAnsi"/>
          <w:noProof/>
          <w:color w:val="auto"/>
          <w:kern w:val="2"/>
          <w:sz w:val="24"/>
          <w:lang w:eastAsia="en-GB"/>
          <w14:ligatures w14:val="standardContextual"/>
        </w:rPr>
      </w:pPr>
      <w:hyperlink w:anchor="_Toc234580961" w:history="1">
        <w:r w:rsidRPr="00033F23">
          <w:rPr>
            <w:rStyle w:val="Hyperlink"/>
            <w:rFonts w:cstheme="minorHAnsi"/>
            <w:noProof/>
          </w:rPr>
          <w:t>Materials and methods</w:t>
        </w:r>
        <w:r>
          <w:rPr>
            <w:noProof/>
            <w:webHidden/>
          </w:rPr>
          <w:tab/>
        </w:r>
        <w:r>
          <w:rPr>
            <w:noProof/>
            <w:webHidden/>
          </w:rPr>
          <w:fldChar w:fldCharType="begin"/>
        </w:r>
        <w:r>
          <w:rPr>
            <w:noProof/>
            <w:webHidden/>
          </w:rPr>
          <w:instrText xml:space="preserve"> PAGEREF _Toc234580961 \h </w:instrText>
        </w:r>
        <w:r>
          <w:rPr>
            <w:noProof/>
            <w:webHidden/>
          </w:rPr>
        </w:r>
        <w:r>
          <w:rPr>
            <w:noProof/>
            <w:webHidden/>
          </w:rPr>
          <w:fldChar w:fldCharType="separate"/>
        </w:r>
        <w:r>
          <w:rPr>
            <w:noProof/>
            <w:webHidden/>
          </w:rPr>
          <w:t>9</w:t>
        </w:r>
        <w:r>
          <w:rPr>
            <w:noProof/>
            <w:webHidden/>
          </w:rPr>
          <w:fldChar w:fldCharType="end"/>
        </w:r>
      </w:hyperlink>
    </w:p>
    <w:p w14:paraId="372743A1" w14:textId="54D003CA"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62" w:history="1">
        <w:r w:rsidRPr="00033F23">
          <w:rPr>
            <w:rStyle w:val="Hyperlink"/>
            <w:rFonts w:cstheme="minorHAnsi"/>
            <w:noProof/>
          </w:rPr>
          <w:t>Task 2.1 Delphi screening of potential early indicators to monitor change in soil health</w:t>
        </w:r>
        <w:r>
          <w:rPr>
            <w:noProof/>
            <w:webHidden/>
          </w:rPr>
          <w:tab/>
        </w:r>
        <w:r>
          <w:rPr>
            <w:noProof/>
            <w:webHidden/>
          </w:rPr>
          <w:fldChar w:fldCharType="begin"/>
        </w:r>
        <w:r>
          <w:rPr>
            <w:noProof/>
            <w:webHidden/>
          </w:rPr>
          <w:instrText xml:space="preserve"> PAGEREF _Toc234580962 \h </w:instrText>
        </w:r>
        <w:r>
          <w:rPr>
            <w:noProof/>
            <w:webHidden/>
          </w:rPr>
        </w:r>
        <w:r>
          <w:rPr>
            <w:noProof/>
            <w:webHidden/>
          </w:rPr>
          <w:fldChar w:fldCharType="separate"/>
        </w:r>
        <w:r>
          <w:rPr>
            <w:noProof/>
            <w:webHidden/>
          </w:rPr>
          <w:t>9</w:t>
        </w:r>
        <w:r>
          <w:rPr>
            <w:noProof/>
            <w:webHidden/>
          </w:rPr>
          <w:fldChar w:fldCharType="end"/>
        </w:r>
      </w:hyperlink>
    </w:p>
    <w:p w14:paraId="785A3646" w14:textId="475E94D1"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63" w:history="1">
        <w:r w:rsidRPr="00033F23">
          <w:rPr>
            <w:rStyle w:val="Hyperlink"/>
            <w:rFonts w:cstheme="minorHAnsi"/>
            <w:noProof/>
          </w:rPr>
          <w:t>Task 2.2 Evidence review of shortlisted indicators</w:t>
        </w:r>
        <w:r>
          <w:rPr>
            <w:noProof/>
            <w:webHidden/>
          </w:rPr>
          <w:tab/>
        </w:r>
        <w:r>
          <w:rPr>
            <w:noProof/>
            <w:webHidden/>
          </w:rPr>
          <w:fldChar w:fldCharType="begin"/>
        </w:r>
        <w:r>
          <w:rPr>
            <w:noProof/>
            <w:webHidden/>
          </w:rPr>
          <w:instrText xml:space="preserve"> PAGEREF _Toc234580963 \h </w:instrText>
        </w:r>
        <w:r>
          <w:rPr>
            <w:noProof/>
            <w:webHidden/>
          </w:rPr>
        </w:r>
        <w:r>
          <w:rPr>
            <w:noProof/>
            <w:webHidden/>
          </w:rPr>
          <w:fldChar w:fldCharType="separate"/>
        </w:r>
        <w:r>
          <w:rPr>
            <w:noProof/>
            <w:webHidden/>
          </w:rPr>
          <w:t>10</w:t>
        </w:r>
        <w:r>
          <w:rPr>
            <w:noProof/>
            <w:webHidden/>
          </w:rPr>
          <w:fldChar w:fldCharType="end"/>
        </w:r>
      </w:hyperlink>
    </w:p>
    <w:p w14:paraId="37E123E0" w14:textId="533D4B6E"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64" w:history="1">
        <w:r w:rsidRPr="00033F23">
          <w:rPr>
            <w:rStyle w:val="Hyperlink"/>
            <w:rFonts w:cstheme="minorHAnsi"/>
            <w:noProof/>
          </w:rPr>
          <w:t>Task 2.3 Stakeholder workshops</w:t>
        </w:r>
        <w:r>
          <w:rPr>
            <w:noProof/>
            <w:webHidden/>
          </w:rPr>
          <w:tab/>
        </w:r>
        <w:r>
          <w:rPr>
            <w:noProof/>
            <w:webHidden/>
          </w:rPr>
          <w:fldChar w:fldCharType="begin"/>
        </w:r>
        <w:r>
          <w:rPr>
            <w:noProof/>
            <w:webHidden/>
          </w:rPr>
          <w:instrText xml:space="preserve"> PAGEREF _Toc234580964 \h </w:instrText>
        </w:r>
        <w:r>
          <w:rPr>
            <w:noProof/>
            <w:webHidden/>
          </w:rPr>
        </w:r>
        <w:r>
          <w:rPr>
            <w:noProof/>
            <w:webHidden/>
          </w:rPr>
          <w:fldChar w:fldCharType="separate"/>
        </w:r>
        <w:r>
          <w:rPr>
            <w:noProof/>
            <w:webHidden/>
          </w:rPr>
          <w:t>18</w:t>
        </w:r>
        <w:r>
          <w:rPr>
            <w:noProof/>
            <w:webHidden/>
          </w:rPr>
          <w:fldChar w:fldCharType="end"/>
        </w:r>
      </w:hyperlink>
    </w:p>
    <w:p w14:paraId="532A195F" w14:textId="63E140C0"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65" w:history="1">
        <w:r w:rsidRPr="00033F23">
          <w:rPr>
            <w:rStyle w:val="Hyperlink"/>
            <w:rFonts w:cstheme="minorHAnsi"/>
            <w:noProof/>
          </w:rPr>
          <w:t>Task 3.1 Interpretation framework</w:t>
        </w:r>
        <w:r>
          <w:rPr>
            <w:noProof/>
            <w:webHidden/>
          </w:rPr>
          <w:tab/>
        </w:r>
        <w:r>
          <w:rPr>
            <w:noProof/>
            <w:webHidden/>
          </w:rPr>
          <w:fldChar w:fldCharType="begin"/>
        </w:r>
        <w:r>
          <w:rPr>
            <w:noProof/>
            <w:webHidden/>
          </w:rPr>
          <w:instrText xml:space="preserve"> PAGEREF _Toc234580965 \h </w:instrText>
        </w:r>
        <w:r>
          <w:rPr>
            <w:noProof/>
            <w:webHidden/>
          </w:rPr>
        </w:r>
        <w:r>
          <w:rPr>
            <w:noProof/>
            <w:webHidden/>
          </w:rPr>
          <w:fldChar w:fldCharType="separate"/>
        </w:r>
        <w:r>
          <w:rPr>
            <w:noProof/>
            <w:webHidden/>
          </w:rPr>
          <w:t>19</w:t>
        </w:r>
        <w:r>
          <w:rPr>
            <w:noProof/>
            <w:webHidden/>
          </w:rPr>
          <w:fldChar w:fldCharType="end"/>
        </w:r>
      </w:hyperlink>
    </w:p>
    <w:p w14:paraId="111C38EA" w14:textId="209B22A6"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66" w:history="1">
        <w:r w:rsidRPr="00033F23">
          <w:rPr>
            <w:rStyle w:val="Hyperlink"/>
            <w:rFonts w:cstheme="minorHAnsi"/>
            <w:noProof/>
          </w:rPr>
          <w:t>Task 3.2 Knowledge gaps</w:t>
        </w:r>
        <w:r>
          <w:rPr>
            <w:noProof/>
            <w:webHidden/>
          </w:rPr>
          <w:tab/>
        </w:r>
        <w:r>
          <w:rPr>
            <w:noProof/>
            <w:webHidden/>
          </w:rPr>
          <w:fldChar w:fldCharType="begin"/>
        </w:r>
        <w:r>
          <w:rPr>
            <w:noProof/>
            <w:webHidden/>
          </w:rPr>
          <w:instrText xml:space="preserve"> PAGEREF _Toc234580966 \h </w:instrText>
        </w:r>
        <w:r>
          <w:rPr>
            <w:noProof/>
            <w:webHidden/>
          </w:rPr>
        </w:r>
        <w:r>
          <w:rPr>
            <w:noProof/>
            <w:webHidden/>
          </w:rPr>
          <w:fldChar w:fldCharType="separate"/>
        </w:r>
        <w:r>
          <w:rPr>
            <w:noProof/>
            <w:webHidden/>
          </w:rPr>
          <w:t>19</w:t>
        </w:r>
        <w:r>
          <w:rPr>
            <w:noProof/>
            <w:webHidden/>
          </w:rPr>
          <w:fldChar w:fldCharType="end"/>
        </w:r>
      </w:hyperlink>
    </w:p>
    <w:p w14:paraId="02C035F7" w14:textId="0D4B4F28" w:rsidR="00E125D7" w:rsidRDefault="00E125D7">
      <w:pPr>
        <w:pStyle w:val="TOC1"/>
        <w:tabs>
          <w:tab w:val="right" w:leader="dot" w:pos="9060"/>
        </w:tabs>
        <w:rPr>
          <w:rFonts w:asciiTheme="minorHAnsi" w:hAnsiTheme="minorHAnsi"/>
          <w:noProof/>
          <w:color w:val="auto"/>
          <w:kern w:val="2"/>
          <w:sz w:val="24"/>
          <w:lang w:eastAsia="en-GB"/>
          <w14:ligatures w14:val="standardContextual"/>
        </w:rPr>
      </w:pPr>
      <w:hyperlink w:anchor="_Toc234580967" w:history="1">
        <w:r w:rsidRPr="00033F23">
          <w:rPr>
            <w:rStyle w:val="Hyperlink"/>
            <w:rFonts w:cstheme="minorHAnsi"/>
            <w:noProof/>
          </w:rPr>
          <w:t>Results</w:t>
        </w:r>
        <w:r>
          <w:rPr>
            <w:noProof/>
            <w:webHidden/>
          </w:rPr>
          <w:tab/>
        </w:r>
        <w:r>
          <w:rPr>
            <w:noProof/>
            <w:webHidden/>
          </w:rPr>
          <w:fldChar w:fldCharType="begin"/>
        </w:r>
        <w:r>
          <w:rPr>
            <w:noProof/>
            <w:webHidden/>
          </w:rPr>
          <w:instrText xml:space="preserve"> PAGEREF _Toc234580967 \h </w:instrText>
        </w:r>
        <w:r>
          <w:rPr>
            <w:noProof/>
            <w:webHidden/>
          </w:rPr>
        </w:r>
        <w:r>
          <w:rPr>
            <w:noProof/>
            <w:webHidden/>
          </w:rPr>
          <w:fldChar w:fldCharType="separate"/>
        </w:r>
        <w:r>
          <w:rPr>
            <w:noProof/>
            <w:webHidden/>
          </w:rPr>
          <w:t>20</w:t>
        </w:r>
        <w:r>
          <w:rPr>
            <w:noProof/>
            <w:webHidden/>
          </w:rPr>
          <w:fldChar w:fldCharType="end"/>
        </w:r>
      </w:hyperlink>
    </w:p>
    <w:p w14:paraId="22E2E6C0" w14:textId="3310BFE1"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68" w:history="1">
        <w:r w:rsidRPr="00033F23">
          <w:rPr>
            <w:rStyle w:val="Hyperlink"/>
            <w:rFonts w:cstheme="minorHAnsi"/>
            <w:noProof/>
          </w:rPr>
          <w:t>Task 2.1 Delphi screening– shortlist of indicators for further evidence review</w:t>
        </w:r>
        <w:r>
          <w:rPr>
            <w:noProof/>
            <w:webHidden/>
          </w:rPr>
          <w:tab/>
        </w:r>
        <w:r>
          <w:rPr>
            <w:noProof/>
            <w:webHidden/>
          </w:rPr>
          <w:fldChar w:fldCharType="begin"/>
        </w:r>
        <w:r>
          <w:rPr>
            <w:noProof/>
            <w:webHidden/>
          </w:rPr>
          <w:instrText xml:space="preserve"> PAGEREF _Toc234580968 \h </w:instrText>
        </w:r>
        <w:r>
          <w:rPr>
            <w:noProof/>
            <w:webHidden/>
          </w:rPr>
        </w:r>
        <w:r>
          <w:rPr>
            <w:noProof/>
            <w:webHidden/>
          </w:rPr>
          <w:fldChar w:fldCharType="separate"/>
        </w:r>
        <w:r>
          <w:rPr>
            <w:noProof/>
            <w:webHidden/>
          </w:rPr>
          <w:t>21</w:t>
        </w:r>
        <w:r>
          <w:rPr>
            <w:noProof/>
            <w:webHidden/>
          </w:rPr>
          <w:fldChar w:fldCharType="end"/>
        </w:r>
      </w:hyperlink>
    </w:p>
    <w:p w14:paraId="75BB190F" w14:textId="5B4C5CF8"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69" w:history="1">
        <w:r w:rsidRPr="00033F23">
          <w:rPr>
            <w:rStyle w:val="Hyperlink"/>
            <w:rFonts w:cstheme="minorHAnsi"/>
            <w:noProof/>
          </w:rPr>
          <w:t>Task 2.2 Critical evaluation of evidence</w:t>
        </w:r>
        <w:r>
          <w:rPr>
            <w:noProof/>
            <w:webHidden/>
          </w:rPr>
          <w:tab/>
        </w:r>
        <w:r>
          <w:rPr>
            <w:noProof/>
            <w:webHidden/>
          </w:rPr>
          <w:fldChar w:fldCharType="begin"/>
        </w:r>
        <w:r>
          <w:rPr>
            <w:noProof/>
            <w:webHidden/>
          </w:rPr>
          <w:instrText xml:space="preserve"> PAGEREF _Toc234580969 \h </w:instrText>
        </w:r>
        <w:r>
          <w:rPr>
            <w:noProof/>
            <w:webHidden/>
          </w:rPr>
        </w:r>
        <w:r>
          <w:rPr>
            <w:noProof/>
            <w:webHidden/>
          </w:rPr>
          <w:fldChar w:fldCharType="separate"/>
        </w:r>
        <w:r>
          <w:rPr>
            <w:noProof/>
            <w:webHidden/>
          </w:rPr>
          <w:t>25</w:t>
        </w:r>
        <w:r>
          <w:rPr>
            <w:noProof/>
            <w:webHidden/>
          </w:rPr>
          <w:fldChar w:fldCharType="end"/>
        </w:r>
      </w:hyperlink>
    </w:p>
    <w:p w14:paraId="25BD45F8" w14:textId="1F3A4CA2"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70" w:history="1">
        <w:r w:rsidRPr="00033F23">
          <w:rPr>
            <w:rStyle w:val="Hyperlink"/>
            <w:rFonts w:cstheme="minorHAnsi"/>
            <w:noProof/>
          </w:rPr>
          <w:t>Stakeholder workshop outcomes</w:t>
        </w:r>
        <w:r>
          <w:rPr>
            <w:noProof/>
            <w:webHidden/>
          </w:rPr>
          <w:tab/>
        </w:r>
        <w:r>
          <w:rPr>
            <w:noProof/>
            <w:webHidden/>
          </w:rPr>
          <w:fldChar w:fldCharType="begin"/>
        </w:r>
        <w:r>
          <w:rPr>
            <w:noProof/>
            <w:webHidden/>
          </w:rPr>
          <w:instrText xml:space="preserve"> PAGEREF _Toc234580970 \h </w:instrText>
        </w:r>
        <w:r>
          <w:rPr>
            <w:noProof/>
            <w:webHidden/>
          </w:rPr>
        </w:r>
        <w:r>
          <w:rPr>
            <w:noProof/>
            <w:webHidden/>
          </w:rPr>
          <w:fldChar w:fldCharType="separate"/>
        </w:r>
        <w:r>
          <w:rPr>
            <w:noProof/>
            <w:webHidden/>
          </w:rPr>
          <w:t>32</w:t>
        </w:r>
        <w:r>
          <w:rPr>
            <w:noProof/>
            <w:webHidden/>
          </w:rPr>
          <w:fldChar w:fldCharType="end"/>
        </w:r>
      </w:hyperlink>
    </w:p>
    <w:p w14:paraId="6931F5C3" w14:textId="37C52358" w:rsidR="00E125D7" w:rsidRDefault="00E125D7">
      <w:pPr>
        <w:pStyle w:val="TOC1"/>
        <w:tabs>
          <w:tab w:val="right" w:leader="dot" w:pos="9060"/>
        </w:tabs>
        <w:rPr>
          <w:rFonts w:asciiTheme="minorHAnsi" w:hAnsiTheme="minorHAnsi"/>
          <w:noProof/>
          <w:color w:val="auto"/>
          <w:kern w:val="2"/>
          <w:sz w:val="24"/>
          <w:lang w:eastAsia="en-GB"/>
          <w14:ligatures w14:val="standardContextual"/>
        </w:rPr>
      </w:pPr>
      <w:hyperlink w:anchor="_Toc234580971" w:history="1">
        <w:r w:rsidRPr="00033F23">
          <w:rPr>
            <w:rStyle w:val="Hyperlink"/>
            <w:rFonts w:cstheme="minorHAnsi"/>
            <w:noProof/>
          </w:rPr>
          <w:t>Discussion</w:t>
        </w:r>
        <w:r>
          <w:rPr>
            <w:noProof/>
            <w:webHidden/>
          </w:rPr>
          <w:tab/>
        </w:r>
        <w:r>
          <w:rPr>
            <w:noProof/>
            <w:webHidden/>
          </w:rPr>
          <w:fldChar w:fldCharType="begin"/>
        </w:r>
        <w:r>
          <w:rPr>
            <w:noProof/>
            <w:webHidden/>
          </w:rPr>
          <w:instrText xml:space="preserve"> PAGEREF _Toc234580971 \h </w:instrText>
        </w:r>
        <w:r>
          <w:rPr>
            <w:noProof/>
            <w:webHidden/>
          </w:rPr>
        </w:r>
        <w:r>
          <w:rPr>
            <w:noProof/>
            <w:webHidden/>
          </w:rPr>
          <w:fldChar w:fldCharType="separate"/>
        </w:r>
        <w:r>
          <w:rPr>
            <w:noProof/>
            <w:webHidden/>
          </w:rPr>
          <w:t>40</w:t>
        </w:r>
        <w:r>
          <w:rPr>
            <w:noProof/>
            <w:webHidden/>
          </w:rPr>
          <w:fldChar w:fldCharType="end"/>
        </w:r>
      </w:hyperlink>
    </w:p>
    <w:p w14:paraId="3CAE1C4C" w14:textId="406EAFB4"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72" w:history="1">
        <w:r w:rsidRPr="00033F23">
          <w:rPr>
            <w:rStyle w:val="Hyperlink"/>
            <w:rFonts w:cstheme="minorHAnsi"/>
            <w:noProof/>
          </w:rPr>
          <w:t>Potential of shortlisted indicators to detect a change in soil health in 1-2 years</w:t>
        </w:r>
        <w:r>
          <w:rPr>
            <w:noProof/>
            <w:webHidden/>
          </w:rPr>
          <w:tab/>
        </w:r>
        <w:r>
          <w:rPr>
            <w:noProof/>
            <w:webHidden/>
          </w:rPr>
          <w:fldChar w:fldCharType="begin"/>
        </w:r>
        <w:r>
          <w:rPr>
            <w:noProof/>
            <w:webHidden/>
          </w:rPr>
          <w:instrText xml:space="preserve"> PAGEREF _Toc234580972 \h </w:instrText>
        </w:r>
        <w:r>
          <w:rPr>
            <w:noProof/>
            <w:webHidden/>
          </w:rPr>
        </w:r>
        <w:r>
          <w:rPr>
            <w:noProof/>
            <w:webHidden/>
          </w:rPr>
          <w:fldChar w:fldCharType="separate"/>
        </w:r>
        <w:r>
          <w:rPr>
            <w:noProof/>
            <w:webHidden/>
          </w:rPr>
          <w:t>40</w:t>
        </w:r>
        <w:r>
          <w:rPr>
            <w:noProof/>
            <w:webHidden/>
          </w:rPr>
          <w:fldChar w:fldCharType="end"/>
        </w:r>
      </w:hyperlink>
    </w:p>
    <w:p w14:paraId="7E805D02" w14:textId="3EC090B6"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73" w:history="1">
        <w:r w:rsidRPr="00033F23">
          <w:rPr>
            <w:rStyle w:val="Hyperlink"/>
            <w:rFonts w:cstheme="minorHAnsi"/>
            <w:noProof/>
          </w:rPr>
          <w:t>Limitations with biological indicators of soil function</w:t>
        </w:r>
        <w:r>
          <w:rPr>
            <w:noProof/>
            <w:webHidden/>
          </w:rPr>
          <w:tab/>
        </w:r>
        <w:r>
          <w:rPr>
            <w:noProof/>
            <w:webHidden/>
          </w:rPr>
          <w:fldChar w:fldCharType="begin"/>
        </w:r>
        <w:r>
          <w:rPr>
            <w:noProof/>
            <w:webHidden/>
          </w:rPr>
          <w:instrText xml:space="preserve"> PAGEREF _Toc234580973 \h </w:instrText>
        </w:r>
        <w:r>
          <w:rPr>
            <w:noProof/>
            <w:webHidden/>
          </w:rPr>
        </w:r>
        <w:r>
          <w:rPr>
            <w:noProof/>
            <w:webHidden/>
          </w:rPr>
          <w:fldChar w:fldCharType="separate"/>
        </w:r>
        <w:r>
          <w:rPr>
            <w:noProof/>
            <w:webHidden/>
          </w:rPr>
          <w:t>44</w:t>
        </w:r>
        <w:r>
          <w:rPr>
            <w:noProof/>
            <w:webHidden/>
          </w:rPr>
          <w:fldChar w:fldCharType="end"/>
        </w:r>
      </w:hyperlink>
    </w:p>
    <w:p w14:paraId="1D7D07EB" w14:textId="4E5B4A9B"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74" w:history="1">
        <w:r w:rsidRPr="00033F23">
          <w:rPr>
            <w:rStyle w:val="Hyperlink"/>
            <w:rFonts w:cstheme="minorHAnsi"/>
            <w:noProof/>
          </w:rPr>
          <w:t>Knowledge gaps and future research opportunities</w:t>
        </w:r>
        <w:r>
          <w:rPr>
            <w:noProof/>
            <w:webHidden/>
          </w:rPr>
          <w:tab/>
        </w:r>
        <w:r>
          <w:rPr>
            <w:noProof/>
            <w:webHidden/>
          </w:rPr>
          <w:fldChar w:fldCharType="begin"/>
        </w:r>
        <w:r>
          <w:rPr>
            <w:noProof/>
            <w:webHidden/>
          </w:rPr>
          <w:instrText xml:space="preserve"> PAGEREF _Toc234580974 \h </w:instrText>
        </w:r>
        <w:r>
          <w:rPr>
            <w:noProof/>
            <w:webHidden/>
          </w:rPr>
        </w:r>
        <w:r>
          <w:rPr>
            <w:noProof/>
            <w:webHidden/>
          </w:rPr>
          <w:fldChar w:fldCharType="separate"/>
        </w:r>
        <w:r>
          <w:rPr>
            <w:noProof/>
            <w:webHidden/>
          </w:rPr>
          <w:t>45</w:t>
        </w:r>
        <w:r>
          <w:rPr>
            <w:noProof/>
            <w:webHidden/>
          </w:rPr>
          <w:fldChar w:fldCharType="end"/>
        </w:r>
      </w:hyperlink>
    </w:p>
    <w:p w14:paraId="60A59551" w14:textId="7260EDE4" w:rsidR="00E125D7" w:rsidRDefault="00E125D7">
      <w:pPr>
        <w:pStyle w:val="TOC1"/>
        <w:tabs>
          <w:tab w:val="right" w:leader="dot" w:pos="9060"/>
        </w:tabs>
        <w:rPr>
          <w:rFonts w:asciiTheme="minorHAnsi" w:hAnsiTheme="minorHAnsi"/>
          <w:noProof/>
          <w:color w:val="auto"/>
          <w:kern w:val="2"/>
          <w:sz w:val="24"/>
          <w:lang w:eastAsia="en-GB"/>
          <w14:ligatures w14:val="standardContextual"/>
        </w:rPr>
      </w:pPr>
      <w:hyperlink w:anchor="_Toc234580975" w:history="1">
        <w:r w:rsidRPr="00033F23">
          <w:rPr>
            <w:rStyle w:val="Hyperlink"/>
            <w:rFonts w:cstheme="minorHAnsi"/>
            <w:noProof/>
          </w:rPr>
          <w:t>References</w:t>
        </w:r>
        <w:r>
          <w:rPr>
            <w:noProof/>
            <w:webHidden/>
          </w:rPr>
          <w:tab/>
        </w:r>
        <w:r>
          <w:rPr>
            <w:noProof/>
            <w:webHidden/>
          </w:rPr>
          <w:fldChar w:fldCharType="begin"/>
        </w:r>
        <w:r>
          <w:rPr>
            <w:noProof/>
            <w:webHidden/>
          </w:rPr>
          <w:instrText xml:space="preserve"> PAGEREF _Toc234580975 \h </w:instrText>
        </w:r>
        <w:r>
          <w:rPr>
            <w:noProof/>
            <w:webHidden/>
          </w:rPr>
        </w:r>
        <w:r>
          <w:rPr>
            <w:noProof/>
            <w:webHidden/>
          </w:rPr>
          <w:fldChar w:fldCharType="separate"/>
        </w:r>
        <w:r>
          <w:rPr>
            <w:noProof/>
            <w:webHidden/>
          </w:rPr>
          <w:t>47</w:t>
        </w:r>
        <w:r>
          <w:rPr>
            <w:noProof/>
            <w:webHidden/>
          </w:rPr>
          <w:fldChar w:fldCharType="end"/>
        </w:r>
      </w:hyperlink>
    </w:p>
    <w:p w14:paraId="4B5E2130" w14:textId="27A0A6F4" w:rsidR="00E125D7" w:rsidRDefault="00E125D7">
      <w:pPr>
        <w:pStyle w:val="TOC1"/>
        <w:tabs>
          <w:tab w:val="right" w:leader="dot" w:pos="9060"/>
        </w:tabs>
        <w:rPr>
          <w:rFonts w:asciiTheme="minorHAnsi" w:hAnsiTheme="minorHAnsi"/>
          <w:noProof/>
          <w:color w:val="auto"/>
          <w:kern w:val="2"/>
          <w:sz w:val="24"/>
          <w:lang w:eastAsia="en-GB"/>
          <w14:ligatures w14:val="standardContextual"/>
        </w:rPr>
      </w:pPr>
      <w:hyperlink w:anchor="_Toc234580976" w:history="1">
        <w:r w:rsidRPr="00033F23">
          <w:rPr>
            <w:rStyle w:val="Hyperlink"/>
            <w:rFonts w:cstheme="minorHAnsi"/>
            <w:noProof/>
          </w:rPr>
          <w:t>Appendices</w:t>
        </w:r>
        <w:r>
          <w:rPr>
            <w:noProof/>
            <w:webHidden/>
          </w:rPr>
          <w:tab/>
        </w:r>
        <w:r>
          <w:rPr>
            <w:noProof/>
            <w:webHidden/>
          </w:rPr>
          <w:fldChar w:fldCharType="begin"/>
        </w:r>
        <w:r>
          <w:rPr>
            <w:noProof/>
            <w:webHidden/>
          </w:rPr>
          <w:instrText xml:space="preserve"> PAGEREF _Toc234580976 \h </w:instrText>
        </w:r>
        <w:r>
          <w:rPr>
            <w:noProof/>
            <w:webHidden/>
          </w:rPr>
        </w:r>
        <w:r>
          <w:rPr>
            <w:noProof/>
            <w:webHidden/>
          </w:rPr>
          <w:fldChar w:fldCharType="separate"/>
        </w:r>
        <w:r>
          <w:rPr>
            <w:noProof/>
            <w:webHidden/>
          </w:rPr>
          <w:t>50</w:t>
        </w:r>
        <w:r>
          <w:rPr>
            <w:noProof/>
            <w:webHidden/>
          </w:rPr>
          <w:fldChar w:fldCharType="end"/>
        </w:r>
      </w:hyperlink>
    </w:p>
    <w:p w14:paraId="752C0354" w14:textId="615A110E"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77" w:history="1">
        <w:r w:rsidRPr="00033F23">
          <w:rPr>
            <w:rStyle w:val="Hyperlink"/>
            <w:rFonts w:cstheme="minorHAnsi"/>
            <w:noProof/>
          </w:rPr>
          <w:t>Results of first survey provided to Delphi respondents before completing the second survey</w:t>
        </w:r>
        <w:r>
          <w:rPr>
            <w:noProof/>
            <w:webHidden/>
          </w:rPr>
          <w:tab/>
        </w:r>
        <w:r>
          <w:rPr>
            <w:noProof/>
            <w:webHidden/>
          </w:rPr>
          <w:fldChar w:fldCharType="begin"/>
        </w:r>
        <w:r>
          <w:rPr>
            <w:noProof/>
            <w:webHidden/>
          </w:rPr>
          <w:instrText xml:space="preserve"> PAGEREF _Toc234580977 \h </w:instrText>
        </w:r>
        <w:r>
          <w:rPr>
            <w:noProof/>
            <w:webHidden/>
          </w:rPr>
        </w:r>
        <w:r>
          <w:rPr>
            <w:noProof/>
            <w:webHidden/>
          </w:rPr>
          <w:fldChar w:fldCharType="separate"/>
        </w:r>
        <w:r>
          <w:rPr>
            <w:noProof/>
            <w:webHidden/>
          </w:rPr>
          <w:t>50</w:t>
        </w:r>
        <w:r>
          <w:rPr>
            <w:noProof/>
            <w:webHidden/>
          </w:rPr>
          <w:fldChar w:fldCharType="end"/>
        </w:r>
      </w:hyperlink>
    </w:p>
    <w:p w14:paraId="3488A600" w14:textId="47B71746"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78" w:history="1">
        <w:r w:rsidRPr="00033F23">
          <w:rPr>
            <w:rStyle w:val="Hyperlink"/>
            <w:rFonts w:cstheme="minorHAnsi"/>
            <w:noProof/>
          </w:rPr>
          <w:t xml:space="preserve">Delphi Survey – second round – conversion of ranked importance of criteria and </w:t>
        </w:r>
        <w:r w:rsidRPr="00033F23">
          <w:rPr>
            <w:rStyle w:val="Hyperlink"/>
            <w:rFonts w:cstheme="minorHAnsi"/>
            <w:bCs/>
            <w:noProof/>
          </w:rPr>
          <w:t>ecosystem</w:t>
        </w:r>
        <w:r w:rsidRPr="00033F23">
          <w:rPr>
            <w:rStyle w:val="Hyperlink"/>
            <w:rFonts w:cstheme="minorHAnsi"/>
            <w:noProof/>
          </w:rPr>
          <w:t xml:space="preserve"> goods and services into weightings</w:t>
        </w:r>
        <w:r>
          <w:rPr>
            <w:noProof/>
            <w:webHidden/>
          </w:rPr>
          <w:tab/>
        </w:r>
        <w:r>
          <w:rPr>
            <w:noProof/>
            <w:webHidden/>
          </w:rPr>
          <w:fldChar w:fldCharType="begin"/>
        </w:r>
        <w:r>
          <w:rPr>
            <w:noProof/>
            <w:webHidden/>
          </w:rPr>
          <w:instrText xml:space="preserve"> PAGEREF _Toc234580978 \h </w:instrText>
        </w:r>
        <w:r>
          <w:rPr>
            <w:noProof/>
            <w:webHidden/>
          </w:rPr>
        </w:r>
        <w:r>
          <w:rPr>
            <w:noProof/>
            <w:webHidden/>
          </w:rPr>
          <w:fldChar w:fldCharType="separate"/>
        </w:r>
        <w:r>
          <w:rPr>
            <w:noProof/>
            <w:webHidden/>
          </w:rPr>
          <w:t>53</w:t>
        </w:r>
        <w:r>
          <w:rPr>
            <w:noProof/>
            <w:webHidden/>
          </w:rPr>
          <w:fldChar w:fldCharType="end"/>
        </w:r>
      </w:hyperlink>
    </w:p>
    <w:p w14:paraId="79552AD5" w14:textId="0E2C27C0"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79" w:history="1">
        <w:r w:rsidRPr="00033F23">
          <w:rPr>
            <w:rStyle w:val="Hyperlink"/>
            <w:rFonts w:cstheme="minorHAnsi"/>
            <w:noProof/>
          </w:rPr>
          <w:t>Outline of final stakeholder workshops</w:t>
        </w:r>
        <w:r>
          <w:rPr>
            <w:noProof/>
            <w:webHidden/>
          </w:rPr>
          <w:tab/>
        </w:r>
        <w:r>
          <w:rPr>
            <w:noProof/>
            <w:webHidden/>
          </w:rPr>
          <w:fldChar w:fldCharType="begin"/>
        </w:r>
        <w:r>
          <w:rPr>
            <w:noProof/>
            <w:webHidden/>
          </w:rPr>
          <w:instrText xml:space="preserve"> PAGEREF _Toc234580979 \h </w:instrText>
        </w:r>
        <w:r>
          <w:rPr>
            <w:noProof/>
            <w:webHidden/>
          </w:rPr>
        </w:r>
        <w:r>
          <w:rPr>
            <w:noProof/>
            <w:webHidden/>
          </w:rPr>
          <w:fldChar w:fldCharType="separate"/>
        </w:r>
        <w:r>
          <w:rPr>
            <w:noProof/>
            <w:webHidden/>
          </w:rPr>
          <w:t>55</w:t>
        </w:r>
        <w:r>
          <w:rPr>
            <w:noProof/>
            <w:webHidden/>
          </w:rPr>
          <w:fldChar w:fldCharType="end"/>
        </w:r>
      </w:hyperlink>
    </w:p>
    <w:p w14:paraId="53592F9A" w14:textId="72C0402E" w:rsidR="00E125D7" w:rsidRDefault="00E125D7">
      <w:pPr>
        <w:pStyle w:val="TOC2"/>
        <w:tabs>
          <w:tab w:val="right" w:leader="dot" w:pos="9060"/>
        </w:tabs>
        <w:rPr>
          <w:rFonts w:asciiTheme="minorHAnsi" w:hAnsiTheme="minorHAnsi"/>
          <w:noProof/>
          <w:color w:val="auto"/>
          <w:kern w:val="2"/>
          <w:sz w:val="24"/>
          <w:lang w:eastAsia="en-GB"/>
          <w14:ligatures w14:val="standardContextual"/>
        </w:rPr>
      </w:pPr>
      <w:hyperlink w:anchor="_Toc234580980" w:history="1">
        <w:r w:rsidRPr="00033F23">
          <w:rPr>
            <w:rStyle w:val="Hyperlink"/>
            <w:noProof/>
          </w:rPr>
          <w:t>Factsheet content</w:t>
        </w:r>
        <w:r>
          <w:rPr>
            <w:noProof/>
            <w:webHidden/>
          </w:rPr>
          <w:tab/>
        </w:r>
        <w:r>
          <w:rPr>
            <w:noProof/>
            <w:webHidden/>
          </w:rPr>
          <w:fldChar w:fldCharType="begin"/>
        </w:r>
        <w:r>
          <w:rPr>
            <w:noProof/>
            <w:webHidden/>
          </w:rPr>
          <w:instrText xml:space="preserve"> PAGEREF _Toc234580980 \h </w:instrText>
        </w:r>
        <w:r>
          <w:rPr>
            <w:noProof/>
            <w:webHidden/>
          </w:rPr>
        </w:r>
        <w:r>
          <w:rPr>
            <w:noProof/>
            <w:webHidden/>
          </w:rPr>
          <w:fldChar w:fldCharType="separate"/>
        </w:r>
        <w:r>
          <w:rPr>
            <w:noProof/>
            <w:webHidden/>
          </w:rPr>
          <w:t>57</w:t>
        </w:r>
        <w:r>
          <w:rPr>
            <w:noProof/>
            <w:webHidden/>
          </w:rPr>
          <w:fldChar w:fldCharType="end"/>
        </w:r>
      </w:hyperlink>
    </w:p>
    <w:p w14:paraId="7B81EAF5" w14:textId="1F841B76" w:rsidR="00C8138C" w:rsidRPr="00EB1D71" w:rsidRDefault="00227853" w:rsidP="005479C3">
      <w:pPr>
        <w:spacing w:line="278" w:lineRule="auto"/>
        <w:rPr>
          <w:rFonts w:asciiTheme="minorHAnsi" w:hAnsiTheme="minorHAnsi" w:cstheme="minorHAnsi"/>
        </w:rPr>
      </w:pPr>
      <w:r w:rsidRPr="00EB1D71">
        <w:rPr>
          <w:rFonts w:asciiTheme="minorHAnsi" w:hAnsiTheme="minorHAnsi" w:cstheme="minorHAnsi"/>
        </w:rPr>
        <w:fldChar w:fldCharType="end"/>
      </w:r>
      <w:r w:rsidR="005479C3" w:rsidRPr="00EB1D71">
        <w:rPr>
          <w:rFonts w:asciiTheme="minorHAnsi" w:hAnsiTheme="minorHAnsi" w:cstheme="minorHAnsi"/>
        </w:rPr>
        <w:br w:type="page"/>
      </w:r>
    </w:p>
    <w:p w14:paraId="44AF207A" w14:textId="77777777" w:rsidR="00977FAD" w:rsidRPr="00EB1D71" w:rsidRDefault="00977FAD" w:rsidP="00977FAD">
      <w:pPr>
        <w:pStyle w:val="Heading2"/>
        <w:rPr>
          <w:rFonts w:asciiTheme="minorHAnsi" w:hAnsiTheme="minorHAnsi" w:cstheme="minorHAnsi"/>
        </w:rPr>
      </w:pPr>
      <w:bookmarkStart w:id="1" w:name="_Toc228622068"/>
      <w:bookmarkStart w:id="2" w:name="_Toc234580957"/>
      <w:r w:rsidRPr="00EB1D71">
        <w:rPr>
          <w:rFonts w:asciiTheme="minorHAnsi" w:hAnsiTheme="minorHAnsi" w:cstheme="minorHAnsi"/>
        </w:rPr>
        <w:lastRenderedPageBreak/>
        <w:t>Abstract</w:t>
      </w:r>
      <w:bookmarkEnd w:id="1"/>
      <w:bookmarkEnd w:id="2"/>
    </w:p>
    <w:p w14:paraId="0D7DD21F" w14:textId="467A9A1C" w:rsidR="00977FAD" w:rsidRPr="00EB1D71" w:rsidRDefault="00977FAD" w:rsidP="00977FAD">
      <w:pPr>
        <w:rPr>
          <w:rFonts w:asciiTheme="minorHAnsi" w:hAnsiTheme="minorHAnsi" w:cstheme="minorHAnsi"/>
        </w:rPr>
      </w:pPr>
      <w:r w:rsidRPr="00EB1D71">
        <w:rPr>
          <w:rFonts w:asciiTheme="minorHAnsi" w:hAnsiTheme="minorHAnsi" w:cstheme="minorHAnsi"/>
        </w:rPr>
        <w:t xml:space="preserve">The aim of this project was to update the guidance for AHDB levy payers on indicators of soil health, with a particular emphasis on those tests that can provide an early indication of a change in soil health following a recent change in management. Throughout the project indicators were evaluated based on their relationship to the following ecosystem services: Food, fibre and biomass production, </w:t>
      </w:r>
      <w:r w:rsidR="00232D09" w:rsidRPr="00EB1D71">
        <w:rPr>
          <w:rFonts w:asciiTheme="minorHAnsi" w:hAnsiTheme="minorHAnsi" w:cstheme="minorHAnsi"/>
        </w:rPr>
        <w:t>s</w:t>
      </w:r>
      <w:r w:rsidRPr="00EB1D71">
        <w:rPr>
          <w:rFonts w:asciiTheme="minorHAnsi" w:hAnsiTheme="minorHAnsi" w:cstheme="minorHAnsi"/>
        </w:rPr>
        <w:t xml:space="preserve">oil carbon storage for climate mitigation, </w:t>
      </w:r>
      <w:r w:rsidR="00232D09" w:rsidRPr="00EB1D71">
        <w:rPr>
          <w:rFonts w:asciiTheme="minorHAnsi" w:hAnsiTheme="minorHAnsi" w:cstheme="minorHAnsi"/>
        </w:rPr>
        <w:t>n</w:t>
      </w:r>
      <w:r w:rsidRPr="00EB1D71">
        <w:rPr>
          <w:rFonts w:asciiTheme="minorHAnsi" w:hAnsiTheme="minorHAnsi" w:cstheme="minorHAnsi"/>
        </w:rPr>
        <w:t xml:space="preserve">utrient cycling i.e. provision of nitrogen (N), phosphorus (P) and potassium (K) to crops, and </w:t>
      </w:r>
      <w:r w:rsidR="00665690" w:rsidRPr="00EB1D71">
        <w:rPr>
          <w:rFonts w:asciiTheme="minorHAnsi" w:hAnsiTheme="minorHAnsi" w:cstheme="minorHAnsi"/>
        </w:rPr>
        <w:t>w</w:t>
      </w:r>
      <w:r w:rsidRPr="00EB1D71">
        <w:rPr>
          <w:rFonts w:asciiTheme="minorHAnsi" w:hAnsiTheme="minorHAnsi" w:cstheme="minorHAnsi"/>
        </w:rPr>
        <w:t xml:space="preserve">ater regulation, including flood alleviation/runoff/erosion mitigation and drought mitigation. Criteria for evaluating indicators focused </w:t>
      </w:r>
      <w:r w:rsidR="00F138AB" w:rsidRPr="00EB1D71">
        <w:rPr>
          <w:rFonts w:asciiTheme="minorHAnsi" w:hAnsiTheme="minorHAnsi" w:cstheme="minorHAnsi"/>
        </w:rPr>
        <w:t>on</w:t>
      </w:r>
      <w:r w:rsidRPr="00EB1D71">
        <w:rPr>
          <w:rFonts w:asciiTheme="minorHAnsi" w:hAnsiTheme="minorHAnsi" w:cstheme="minorHAnsi"/>
        </w:rPr>
        <w:t xml:space="preserve"> indicator sensitivity to management change, link to changes in soil health, availability of robust, UK-relevant data, spatial variability and numbers of samples required to represent an area, cost to the client, and usefulness for farmers.  </w:t>
      </w:r>
    </w:p>
    <w:p w14:paraId="30175EC7"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A long-list of ten indicators was identified at the proposal development stage based on recent expert reviews. These were: earthworms (adult count), CO</w:t>
      </w:r>
      <w:r w:rsidRPr="00EB1D71">
        <w:rPr>
          <w:rFonts w:asciiTheme="minorHAnsi" w:hAnsiTheme="minorHAnsi" w:cstheme="minorHAnsi"/>
          <w:vertAlign w:val="subscript"/>
        </w:rPr>
        <w:t>2</w:t>
      </w:r>
      <w:r w:rsidRPr="00EB1D71">
        <w:rPr>
          <w:rFonts w:asciiTheme="minorHAnsi" w:hAnsiTheme="minorHAnsi" w:cstheme="minorHAnsi"/>
        </w:rPr>
        <w:t xml:space="preserve"> burst, potentially mineralisable nitrogen (PMN), crop rooting, soil carbon fractions, soil </w:t>
      </w:r>
      <w:proofErr w:type="spellStart"/>
      <w:r w:rsidRPr="00EB1D71">
        <w:rPr>
          <w:rFonts w:asciiTheme="minorHAnsi" w:hAnsiTheme="minorHAnsi" w:cstheme="minorHAnsi"/>
        </w:rPr>
        <w:t>foodweb</w:t>
      </w:r>
      <w:proofErr w:type="spellEnd"/>
      <w:r w:rsidRPr="00EB1D71">
        <w:rPr>
          <w:rFonts w:asciiTheme="minorHAnsi" w:hAnsiTheme="minorHAnsi" w:cstheme="minorHAnsi"/>
        </w:rPr>
        <w:t>, phospholipid fatty acids (PLFA), enzyme assays, functional gene analysis and aggregate stability. A Delphi process was followed using an Industry Reference Group to reach a consensus on the top four indicators for an in-depth review of evidence which was compiled and scored using a logical sieve approach. Stakeholder workshops were held to sense-check the suitability of the indicators with end-users. Three indicators were identified for the development of updated guidance materials.</w:t>
      </w:r>
    </w:p>
    <w:p w14:paraId="729182C4"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 xml:space="preserve">The top four indicators selected through the Delphi process were: PMN, crop rooting, active carbon (C) and aggregate stability. The industry experts recognised that PMN is a useful biological indicator reflecting the labile nitrogen pool; </w:t>
      </w:r>
      <w:proofErr w:type="gramStart"/>
      <w:r w:rsidRPr="00EB1D71">
        <w:rPr>
          <w:rFonts w:asciiTheme="minorHAnsi" w:hAnsiTheme="minorHAnsi" w:cstheme="minorHAnsi"/>
        </w:rPr>
        <w:t>however</w:t>
      </w:r>
      <w:proofErr w:type="gramEnd"/>
      <w:r w:rsidRPr="00EB1D71">
        <w:rPr>
          <w:rFonts w:asciiTheme="minorHAnsi" w:hAnsiTheme="minorHAnsi" w:cstheme="minorHAnsi"/>
        </w:rPr>
        <w:t xml:space="preserve"> interpretation of results is still limited. Crop rooting was viewed as an emerging and accessible farmer-led method that may offer good sensitivity to management but requires standardisation and development of interpretation frameworks. Active C was viewed as the carbon fraction most likely to respond to recent changes in management. Aggregate stability was strongly linked to soil physical health, particularly water regulating services. There was a clear consensus among the industry experts to exclude soil </w:t>
      </w:r>
      <w:proofErr w:type="spellStart"/>
      <w:r w:rsidRPr="00EB1D71">
        <w:rPr>
          <w:rFonts w:asciiTheme="minorHAnsi" w:hAnsiTheme="minorHAnsi" w:cstheme="minorHAnsi"/>
        </w:rPr>
        <w:t>foodweb</w:t>
      </w:r>
      <w:proofErr w:type="spellEnd"/>
      <w:r w:rsidRPr="00EB1D71">
        <w:rPr>
          <w:rFonts w:asciiTheme="minorHAnsi" w:hAnsiTheme="minorHAnsi" w:cstheme="minorHAnsi"/>
        </w:rPr>
        <w:t xml:space="preserve"> methods from further investigation due to the sometimes inconsistent and variable results and the lack of evidence indicating that these methods are sensitive to recent management changes. </w:t>
      </w:r>
    </w:p>
    <w:p w14:paraId="1E6D2F3A" w14:textId="2AE5922A" w:rsidR="00977FAD" w:rsidRPr="00EB1D71" w:rsidRDefault="00977FAD" w:rsidP="00977FAD">
      <w:pPr>
        <w:rPr>
          <w:rFonts w:asciiTheme="minorHAnsi" w:hAnsiTheme="minorHAnsi" w:cstheme="minorHAnsi"/>
        </w:rPr>
      </w:pPr>
      <w:r w:rsidRPr="00EB1D71">
        <w:rPr>
          <w:rFonts w:asciiTheme="minorHAnsi" w:hAnsiTheme="minorHAnsi" w:cstheme="minorHAnsi"/>
        </w:rPr>
        <w:t>Aggregate stability was the highest ranked indicator based on the evidence review, followed by crop root architecture, active carbon and potentially minerali</w:t>
      </w:r>
      <w:r w:rsidR="00E35B49" w:rsidRPr="00EB1D71">
        <w:rPr>
          <w:rFonts w:asciiTheme="minorHAnsi" w:hAnsiTheme="minorHAnsi" w:cstheme="minorHAnsi"/>
        </w:rPr>
        <w:t>s</w:t>
      </w:r>
      <w:r w:rsidRPr="00EB1D71">
        <w:rPr>
          <w:rFonts w:asciiTheme="minorHAnsi" w:hAnsiTheme="minorHAnsi" w:cstheme="minorHAnsi"/>
        </w:rPr>
        <w:t xml:space="preserve">able nitrogen. Stakeholders provided valuable feedback during two workshops, emphasizing that farmer-led methods are preferred. The final shortlist of indicators for development of updated guidance </w:t>
      </w:r>
      <w:proofErr w:type="gramStart"/>
      <w:r w:rsidRPr="00EB1D71">
        <w:rPr>
          <w:rFonts w:asciiTheme="minorHAnsi" w:hAnsiTheme="minorHAnsi" w:cstheme="minorHAnsi"/>
        </w:rPr>
        <w:t>were:</w:t>
      </w:r>
      <w:proofErr w:type="gramEnd"/>
      <w:r w:rsidRPr="00EB1D71">
        <w:rPr>
          <w:rFonts w:asciiTheme="minorHAnsi" w:hAnsiTheme="minorHAnsi" w:cstheme="minorHAnsi"/>
        </w:rPr>
        <w:t xml:space="preserve"> aggregate stability including additional information on slake testing (an accessible, farmer-led technique), active carbon with a focus on permanganate oxidisable carbon and CO</w:t>
      </w:r>
      <w:r w:rsidRPr="00EB1D71">
        <w:rPr>
          <w:rFonts w:asciiTheme="minorHAnsi" w:hAnsiTheme="minorHAnsi" w:cstheme="minorHAnsi"/>
          <w:vertAlign w:val="subscript"/>
        </w:rPr>
        <w:t>2</w:t>
      </w:r>
      <w:r w:rsidRPr="00EB1D71">
        <w:rPr>
          <w:rFonts w:asciiTheme="minorHAnsi" w:hAnsiTheme="minorHAnsi" w:cstheme="minorHAnsi"/>
        </w:rPr>
        <w:t xml:space="preserve"> burst as laboratory methods, and potentially mineralisable nitrogen. Crop rooting was excluded from further development since this method is still under development and only applicable to cereals in the UK. Updated “explainer” factsheets were prepared for knowledge exchange on the utility and value of using these tests as early indicators to monitor changes in soil health. </w:t>
      </w:r>
    </w:p>
    <w:p w14:paraId="0C09A59B" w14:textId="77777777" w:rsidR="00E522A8" w:rsidRPr="00EB1D71" w:rsidRDefault="00E522A8">
      <w:pPr>
        <w:spacing w:line="278" w:lineRule="auto"/>
        <w:rPr>
          <w:rFonts w:asciiTheme="minorHAnsi" w:hAnsiTheme="minorHAnsi" w:cstheme="minorHAnsi"/>
          <w:color w:val="0082CA" w:themeColor="text1"/>
          <w:sz w:val="40"/>
          <w:szCs w:val="36"/>
        </w:rPr>
      </w:pPr>
      <w:bookmarkStart w:id="3" w:name="_Toc228622069"/>
      <w:r w:rsidRPr="00EB1D71">
        <w:rPr>
          <w:rFonts w:asciiTheme="minorHAnsi" w:hAnsiTheme="minorHAnsi" w:cstheme="minorHAnsi"/>
        </w:rPr>
        <w:br w:type="page"/>
      </w:r>
    </w:p>
    <w:p w14:paraId="30C7150A" w14:textId="39E11C5B" w:rsidR="00977FAD" w:rsidRPr="00EB1D71" w:rsidRDefault="00977FAD" w:rsidP="00977FAD">
      <w:pPr>
        <w:pStyle w:val="Heading2"/>
        <w:rPr>
          <w:rFonts w:asciiTheme="minorHAnsi" w:hAnsiTheme="minorHAnsi" w:cstheme="minorHAnsi"/>
        </w:rPr>
      </w:pPr>
      <w:bookmarkStart w:id="4" w:name="_Toc234580958"/>
      <w:r w:rsidRPr="00EB1D71">
        <w:rPr>
          <w:rFonts w:asciiTheme="minorHAnsi" w:hAnsiTheme="minorHAnsi" w:cstheme="minorHAnsi"/>
        </w:rPr>
        <w:lastRenderedPageBreak/>
        <w:t>Acronyms</w:t>
      </w:r>
      <w:bookmarkEnd w:id="3"/>
      <w:bookmarkEnd w:id="4"/>
    </w:p>
    <w:p w14:paraId="607EEC29"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AI – artificial intelligence</w:t>
      </w:r>
    </w:p>
    <w:p w14:paraId="0036BE56"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AS – aggregate stability</w:t>
      </w:r>
    </w:p>
    <w:p w14:paraId="4F3089C3"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DOI – digital object identifier</w:t>
      </w:r>
    </w:p>
    <w:p w14:paraId="1421D13D"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EGS – ecosystems goods and services</w:t>
      </w:r>
    </w:p>
    <w:p w14:paraId="7064D963"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FAIR – findable, accessible, interoperable, reusable</w:t>
      </w:r>
    </w:p>
    <w:p w14:paraId="67F4AF10"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HWEC – hot water extractable carbon</w:t>
      </w:r>
    </w:p>
    <w:p w14:paraId="30ECDBA5"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IRG – industry reference group</w:t>
      </w:r>
    </w:p>
    <w:p w14:paraId="09B312D3" w14:textId="44251F83" w:rsidR="00977FAD" w:rsidRPr="00EB1D71" w:rsidRDefault="00977FAD" w:rsidP="00977FAD">
      <w:pPr>
        <w:rPr>
          <w:rFonts w:asciiTheme="minorHAnsi" w:hAnsiTheme="minorHAnsi" w:cstheme="minorHAnsi"/>
        </w:rPr>
      </w:pPr>
      <w:r w:rsidRPr="00EB1D71">
        <w:rPr>
          <w:rFonts w:asciiTheme="minorHAnsi" w:hAnsiTheme="minorHAnsi" w:cstheme="minorHAnsi"/>
        </w:rPr>
        <w:t xml:space="preserve">LOI – </w:t>
      </w:r>
      <w:r w:rsidR="00230CDF" w:rsidRPr="00EB1D71">
        <w:rPr>
          <w:rFonts w:asciiTheme="minorHAnsi" w:hAnsiTheme="minorHAnsi" w:cstheme="minorHAnsi"/>
        </w:rPr>
        <w:t>l</w:t>
      </w:r>
      <w:r w:rsidRPr="00EB1D71">
        <w:rPr>
          <w:rFonts w:asciiTheme="minorHAnsi" w:hAnsiTheme="minorHAnsi" w:cstheme="minorHAnsi"/>
        </w:rPr>
        <w:t>oss on ignition</w:t>
      </w:r>
    </w:p>
    <w:p w14:paraId="35E5DFE0"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MAOM – mineral associated organic matter</w:t>
      </w:r>
    </w:p>
    <w:p w14:paraId="4ECA6931"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NAPESHM – North American Project to Evaluate Soil Health Measurements</w:t>
      </w:r>
    </w:p>
    <w:p w14:paraId="46326E51"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PFLA – phospholipid fatty acids</w:t>
      </w:r>
    </w:p>
    <w:p w14:paraId="17BEFA63" w14:textId="1049E3EE" w:rsidR="00977FAD" w:rsidRPr="00EB1D71" w:rsidRDefault="00977FAD" w:rsidP="00977FAD">
      <w:pPr>
        <w:rPr>
          <w:rFonts w:asciiTheme="minorHAnsi" w:hAnsiTheme="minorHAnsi" w:cstheme="minorHAnsi"/>
        </w:rPr>
      </w:pPr>
      <w:r w:rsidRPr="00EB1D71">
        <w:rPr>
          <w:rFonts w:asciiTheme="minorHAnsi" w:hAnsiTheme="minorHAnsi" w:cstheme="minorHAnsi"/>
        </w:rPr>
        <w:t>PMN – potentially minerali</w:t>
      </w:r>
      <w:r w:rsidR="002A1C7C">
        <w:rPr>
          <w:rFonts w:asciiTheme="minorHAnsi" w:hAnsiTheme="minorHAnsi" w:cstheme="minorHAnsi"/>
        </w:rPr>
        <w:t>s</w:t>
      </w:r>
      <w:r w:rsidRPr="00EB1D71">
        <w:rPr>
          <w:rFonts w:asciiTheme="minorHAnsi" w:hAnsiTheme="minorHAnsi" w:cstheme="minorHAnsi"/>
        </w:rPr>
        <w:t>able nitrogen</w:t>
      </w:r>
    </w:p>
    <w:p w14:paraId="14985D18"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POM – particulate organic matter</w:t>
      </w:r>
    </w:p>
    <w:p w14:paraId="34380CE1"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POXC – permanganate oxidisable carbon</w:t>
      </w:r>
    </w:p>
    <w:p w14:paraId="6552DF30"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qPCR – quantitative polymerase chain reaction</w:t>
      </w:r>
    </w:p>
    <w:p w14:paraId="37493145"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SHSc – Soil Health Scorecard</w:t>
      </w:r>
    </w:p>
    <w:p w14:paraId="0DF3EF13"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WSA – water stable aggregates</w:t>
      </w:r>
    </w:p>
    <w:p w14:paraId="6227588F" w14:textId="77777777" w:rsidR="00977FAD" w:rsidRPr="00EB1D71" w:rsidRDefault="00977FAD" w:rsidP="00977FAD">
      <w:pPr>
        <w:spacing w:after="200" w:line="276" w:lineRule="auto"/>
        <w:rPr>
          <w:rFonts w:asciiTheme="minorHAnsi" w:hAnsiTheme="minorHAnsi" w:cstheme="minorHAnsi"/>
        </w:rPr>
      </w:pPr>
      <w:r w:rsidRPr="00EB1D71">
        <w:rPr>
          <w:rFonts w:asciiTheme="minorHAnsi" w:hAnsiTheme="minorHAnsi" w:cstheme="minorHAnsi"/>
        </w:rPr>
        <w:br w:type="page"/>
      </w:r>
    </w:p>
    <w:p w14:paraId="2BA0EEA1" w14:textId="5B29F907" w:rsidR="00977FAD" w:rsidRPr="00EB1D71" w:rsidRDefault="00977FAD" w:rsidP="00977FAD">
      <w:pPr>
        <w:pStyle w:val="Heading2"/>
        <w:rPr>
          <w:rFonts w:asciiTheme="minorHAnsi" w:hAnsiTheme="minorHAnsi" w:cstheme="minorHAnsi"/>
        </w:rPr>
      </w:pPr>
      <w:bookmarkStart w:id="5" w:name="_Toc234580959"/>
      <w:r w:rsidRPr="00EB1D71">
        <w:rPr>
          <w:rFonts w:asciiTheme="minorHAnsi" w:hAnsiTheme="minorHAnsi" w:cstheme="minorHAnsi"/>
        </w:rPr>
        <w:lastRenderedPageBreak/>
        <w:t>Introduction</w:t>
      </w:r>
      <w:bookmarkEnd w:id="5"/>
    </w:p>
    <w:p w14:paraId="57EF5ABF" w14:textId="5F36BEA7" w:rsidR="00977FAD" w:rsidRPr="00EB1D71" w:rsidRDefault="00977FAD" w:rsidP="00977FAD">
      <w:pPr>
        <w:spacing w:after="200" w:line="276" w:lineRule="auto"/>
        <w:rPr>
          <w:rFonts w:asciiTheme="minorHAnsi" w:hAnsiTheme="minorHAnsi" w:cstheme="minorHAnsi"/>
        </w:rPr>
      </w:pPr>
      <w:r w:rsidRPr="00EB1D71">
        <w:rPr>
          <w:rFonts w:asciiTheme="minorHAnsi" w:hAnsiTheme="minorHAnsi" w:cstheme="minorHAnsi"/>
        </w:rPr>
        <w:t>Soil health can be defined as “the continued capacity of soil to function as a vital living ecosystem that sustains plants, animals and humans, and connects agricultural and soil science to policy, stakeholder needs and sustainable supply-chain management” (Lehmann et al., 2020). In the context of agricultural soils (both arable and grassland) key functions are normally listed as:</w:t>
      </w:r>
    </w:p>
    <w:p w14:paraId="14793D70" w14:textId="7D060A1F" w:rsidR="00977FAD" w:rsidRPr="00EB1D71" w:rsidRDefault="00977FAD" w:rsidP="004564C5">
      <w:pPr>
        <w:pStyle w:val="ListParagraph"/>
        <w:numPr>
          <w:ilvl w:val="0"/>
          <w:numId w:val="10"/>
        </w:numPr>
        <w:spacing w:after="200" w:line="276" w:lineRule="auto"/>
        <w:rPr>
          <w:rFonts w:asciiTheme="minorHAnsi" w:hAnsiTheme="minorHAnsi" w:cstheme="minorHAnsi"/>
        </w:rPr>
      </w:pPr>
      <w:r w:rsidRPr="00EB1D71">
        <w:rPr>
          <w:rFonts w:asciiTheme="minorHAnsi" w:hAnsiTheme="minorHAnsi" w:cstheme="minorHAnsi"/>
        </w:rPr>
        <w:t>Food, fibre and biomass production</w:t>
      </w:r>
    </w:p>
    <w:p w14:paraId="0A36A252" w14:textId="1C185D4C" w:rsidR="00977FAD" w:rsidRPr="00EB1D71" w:rsidRDefault="00977FAD" w:rsidP="004564C5">
      <w:pPr>
        <w:pStyle w:val="ListParagraph"/>
        <w:numPr>
          <w:ilvl w:val="0"/>
          <w:numId w:val="10"/>
        </w:numPr>
        <w:spacing w:after="200" w:line="276" w:lineRule="auto"/>
        <w:rPr>
          <w:rFonts w:asciiTheme="minorHAnsi" w:hAnsiTheme="minorHAnsi" w:cstheme="minorHAnsi"/>
        </w:rPr>
      </w:pPr>
      <w:r w:rsidRPr="00EB1D71">
        <w:rPr>
          <w:rFonts w:asciiTheme="minorHAnsi" w:hAnsiTheme="minorHAnsi" w:cstheme="minorHAnsi"/>
        </w:rPr>
        <w:t>Soil carbon storage for climate mitigation</w:t>
      </w:r>
    </w:p>
    <w:p w14:paraId="6CFDD2D7" w14:textId="13F5A84A" w:rsidR="00977FAD" w:rsidRPr="00EB1D71" w:rsidRDefault="00977FAD" w:rsidP="004564C5">
      <w:pPr>
        <w:pStyle w:val="ListParagraph"/>
        <w:numPr>
          <w:ilvl w:val="0"/>
          <w:numId w:val="10"/>
        </w:numPr>
        <w:spacing w:after="200" w:line="276" w:lineRule="auto"/>
        <w:rPr>
          <w:rFonts w:asciiTheme="minorHAnsi" w:hAnsiTheme="minorHAnsi" w:cstheme="minorHAnsi"/>
        </w:rPr>
      </w:pPr>
      <w:r w:rsidRPr="00EB1D71">
        <w:rPr>
          <w:rFonts w:asciiTheme="minorHAnsi" w:hAnsiTheme="minorHAnsi" w:cstheme="minorHAnsi"/>
        </w:rPr>
        <w:t>Nutrient cycling i.e. provision of N, P &amp; K to crops</w:t>
      </w:r>
    </w:p>
    <w:p w14:paraId="608E8501" w14:textId="0D6998B7" w:rsidR="00977FAD" w:rsidRPr="00EB1D71" w:rsidRDefault="004564C5" w:rsidP="004564C5">
      <w:pPr>
        <w:pStyle w:val="ListParagraph"/>
        <w:numPr>
          <w:ilvl w:val="0"/>
          <w:numId w:val="10"/>
        </w:numPr>
        <w:spacing w:after="200" w:line="276" w:lineRule="auto"/>
        <w:rPr>
          <w:rFonts w:asciiTheme="minorHAnsi" w:hAnsiTheme="minorHAnsi" w:cstheme="minorHAnsi"/>
        </w:rPr>
      </w:pPr>
      <w:r w:rsidRPr="00EB1D71">
        <w:rPr>
          <w:rFonts w:asciiTheme="minorHAnsi" w:hAnsiTheme="minorHAnsi" w:cstheme="minorHAnsi"/>
        </w:rPr>
        <w:t>W</w:t>
      </w:r>
      <w:r w:rsidR="00977FAD" w:rsidRPr="00EB1D71">
        <w:rPr>
          <w:rFonts w:asciiTheme="minorHAnsi" w:hAnsiTheme="minorHAnsi" w:cstheme="minorHAnsi"/>
        </w:rPr>
        <w:t>ater regulation, including flood alleviation/runoff/erosion mitigation and drought mitigation</w:t>
      </w:r>
    </w:p>
    <w:p w14:paraId="56915DCA" w14:textId="77777777" w:rsidR="00977FAD" w:rsidRPr="00EB1D71" w:rsidRDefault="00977FAD" w:rsidP="004564C5">
      <w:pPr>
        <w:spacing w:after="200" w:line="276" w:lineRule="auto"/>
        <w:rPr>
          <w:rFonts w:asciiTheme="minorHAnsi" w:hAnsiTheme="minorHAnsi" w:cstheme="minorHAnsi"/>
        </w:rPr>
      </w:pPr>
      <w:r w:rsidRPr="00EB1D71">
        <w:rPr>
          <w:rFonts w:asciiTheme="minorHAnsi" w:hAnsiTheme="minorHAnsi" w:cstheme="minorHAnsi"/>
        </w:rPr>
        <w:t>Supporting biodiversity is sometimes also listed as a soil function.</w:t>
      </w:r>
    </w:p>
    <w:p w14:paraId="6FE2EED0" w14:textId="77777777" w:rsidR="00977FAD" w:rsidRPr="00EB1D71" w:rsidRDefault="00977FAD" w:rsidP="00977FAD">
      <w:pPr>
        <w:spacing w:after="200" w:line="276" w:lineRule="auto"/>
        <w:rPr>
          <w:rFonts w:asciiTheme="minorHAnsi" w:hAnsiTheme="minorHAnsi" w:cstheme="minorHAnsi"/>
        </w:rPr>
      </w:pPr>
      <w:r w:rsidRPr="00EB1D71">
        <w:rPr>
          <w:rFonts w:asciiTheme="minorHAnsi" w:hAnsiTheme="minorHAnsi" w:cstheme="minorHAnsi"/>
        </w:rPr>
        <w:t>Soil health is routinely monitored for two broad purposes:</w:t>
      </w:r>
    </w:p>
    <w:p w14:paraId="0FD5E3D6" w14:textId="523CF33E" w:rsidR="004564C5" w:rsidRPr="00EB1D71" w:rsidRDefault="00977FAD" w:rsidP="00977FAD">
      <w:pPr>
        <w:pStyle w:val="ListParagraph"/>
        <w:numPr>
          <w:ilvl w:val="0"/>
          <w:numId w:val="11"/>
        </w:numPr>
        <w:spacing w:after="200" w:line="276" w:lineRule="auto"/>
        <w:rPr>
          <w:rFonts w:asciiTheme="minorHAnsi" w:hAnsiTheme="minorHAnsi" w:cstheme="minorHAnsi"/>
        </w:rPr>
      </w:pPr>
      <w:r w:rsidRPr="00EB1D71">
        <w:rPr>
          <w:rFonts w:asciiTheme="minorHAnsi" w:hAnsiTheme="minorHAnsi" w:cstheme="minorHAnsi"/>
        </w:rPr>
        <w:t>Governments and their agencies may monitor soil health to evaluate the impact of their policies on key outcomes. The new England Ecosystem Survey is an example of this type of monitoring. It includes measures of soil health that will be used to monitor the effects of policies, including those in the Sustainable Farming Incentive, that have been designed to promote good soil management. This type of soil health monitoring is normally conducted by trained surveyors according to a standardi</w:t>
      </w:r>
      <w:r w:rsidR="001C625E" w:rsidRPr="00EB1D71">
        <w:rPr>
          <w:rFonts w:asciiTheme="minorHAnsi" w:hAnsiTheme="minorHAnsi" w:cstheme="minorHAnsi"/>
        </w:rPr>
        <w:t>s</w:t>
      </w:r>
      <w:r w:rsidRPr="00EB1D71">
        <w:rPr>
          <w:rFonts w:asciiTheme="minorHAnsi" w:hAnsiTheme="minorHAnsi" w:cstheme="minorHAnsi"/>
        </w:rPr>
        <w:t>ed set of protocols, using a stratified random sampling approach that aims to represent all land classes (habitats, land uses) (Emmett et al., 2024). Results will be anonymised and included in large databases for analysis by policy makers.</w:t>
      </w:r>
    </w:p>
    <w:p w14:paraId="3EB0DC25" w14:textId="7712305A" w:rsidR="00977FAD" w:rsidRPr="00EB1D71" w:rsidRDefault="00977FAD" w:rsidP="00977FAD">
      <w:pPr>
        <w:pStyle w:val="ListParagraph"/>
        <w:numPr>
          <w:ilvl w:val="0"/>
          <w:numId w:val="11"/>
        </w:numPr>
        <w:spacing w:after="200" w:line="276" w:lineRule="auto"/>
        <w:rPr>
          <w:rFonts w:asciiTheme="minorHAnsi" w:hAnsiTheme="minorHAnsi" w:cstheme="minorHAnsi"/>
        </w:rPr>
      </w:pPr>
      <w:r w:rsidRPr="00EB1D71">
        <w:rPr>
          <w:rFonts w:asciiTheme="minorHAnsi" w:hAnsiTheme="minorHAnsi" w:cstheme="minorHAnsi"/>
        </w:rPr>
        <w:t>Soil health can also be monitored by land managers at the farm-level to understand the capacity of their soils to deliver core functions and to help them to make decisions about future management practices. In this case the farmer or land manager may not share the results of their assessments with anyone. The primary purpose of this type of soil health monitoring is to learn about the effects of recent management on soil health and understand trends and patterns in soil health that may affect crop productivity and ultimately the farm’s long-term viability.</w:t>
      </w:r>
    </w:p>
    <w:p w14:paraId="17A05046" w14:textId="77777777" w:rsidR="00977FAD" w:rsidRPr="00EB1D71" w:rsidRDefault="00977FAD" w:rsidP="00977FAD">
      <w:pPr>
        <w:spacing w:after="200" w:line="276" w:lineRule="auto"/>
        <w:rPr>
          <w:rFonts w:asciiTheme="minorHAnsi" w:hAnsiTheme="minorHAnsi" w:cstheme="minorHAnsi"/>
        </w:rPr>
      </w:pPr>
      <w:r w:rsidRPr="00EB1D71">
        <w:rPr>
          <w:rFonts w:asciiTheme="minorHAnsi" w:hAnsiTheme="minorHAnsi" w:cstheme="minorHAnsi"/>
        </w:rPr>
        <w:t xml:space="preserve">While serving two very different purposes, there is considerable overlap in the types of indicators used in </w:t>
      </w:r>
      <w:proofErr w:type="gramStart"/>
      <w:r w:rsidRPr="00EB1D71">
        <w:rPr>
          <w:rFonts w:asciiTheme="minorHAnsi" w:hAnsiTheme="minorHAnsi" w:cstheme="minorHAnsi"/>
        </w:rPr>
        <w:t>both of these</w:t>
      </w:r>
      <w:proofErr w:type="gramEnd"/>
      <w:r w:rsidRPr="00EB1D71">
        <w:rPr>
          <w:rFonts w:asciiTheme="minorHAnsi" w:hAnsiTheme="minorHAnsi" w:cstheme="minorHAnsi"/>
        </w:rPr>
        <w:t xml:space="preserve"> approaches to soil health monitoring. The focus of this project was on the latter, farm-level soil health monitoring. </w:t>
      </w:r>
    </w:p>
    <w:p w14:paraId="7C345DC0" w14:textId="77777777" w:rsidR="00977FAD" w:rsidRPr="00EB1D71" w:rsidRDefault="00977FAD" w:rsidP="00977FAD">
      <w:pPr>
        <w:spacing w:after="200" w:line="276" w:lineRule="auto"/>
        <w:rPr>
          <w:rFonts w:asciiTheme="minorHAnsi" w:hAnsiTheme="minorHAnsi" w:cstheme="minorHAnsi"/>
        </w:rPr>
      </w:pPr>
      <w:r w:rsidRPr="00EB1D71">
        <w:rPr>
          <w:rFonts w:asciiTheme="minorHAnsi" w:hAnsiTheme="minorHAnsi" w:cstheme="minorHAnsi"/>
        </w:rPr>
        <w:t>There are already numerous soil health assessment frameworks in existence. For example, the Comprehensive Assessment of Soil Health (CASH) framework developed by Cornell University in the United States is designed to complement soil nutrient testing by providing guidance on evaluating physical and biological indicators that may highlight constraints to production and recommending mitigations to address these constraints (Moebius-Clune et al., 2016).</w:t>
      </w:r>
    </w:p>
    <w:p w14:paraId="30D214DD" w14:textId="0D237E08" w:rsidR="00977FAD" w:rsidRPr="00EB1D71" w:rsidRDefault="00977FAD" w:rsidP="00977FAD">
      <w:pPr>
        <w:spacing w:after="200" w:line="276" w:lineRule="auto"/>
        <w:rPr>
          <w:rFonts w:asciiTheme="minorHAnsi" w:hAnsiTheme="minorHAnsi" w:cstheme="minorHAnsi"/>
        </w:rPr>
      </w:pPr>
      <w:r w:rsidRPr="00EB1D71">
        <w:rPr>
          <w:rFonts w:asciiTheme="minorHAnsi" w:hAnsiTheme="minorHAnsi" w:cstheme="minorHAnsi"/>
        </w:rPr>
        <w:t>Here in the UK the AHDB provides advice on how to evaluate soil health through the Soil Health Scorecard (SHSc) which was launched in 2022 (AHDB, 2022). The existing scorecard includes a selection of physical (Visual Evaluation of Soil Structure or VESS), biological (earthworm counts, soil organic matter, microbial activity by potentially minerali</w:t>
      </w:r>
      <w:r w:rsidR="00E31A15" w:rsidRPr="00EB1D71">
        <w:rPr>
          <w:rFonts w:asciiTheme="minorHAnsi" w:hAnsiTheme="minorHAnsi" w:cstheme="minorHAnsi"/>
        </w:rPr>
        <w:t>s</w:t>
      </w:r>
      <w:r w:rsidRPr="00EB1D71">
        <w:rPr>
          <w:rFonts w:asciiTheme="minorHAnsi" w:hAnsiTheme="minorHAnsi" w:cstheme="minorHAnsi"/>
        </w:rPr>
        <w:t>able N or CO</w:t>
      </w:r>
      <w:r w:rsidRPr="00EB1D71">
        <w:rPr>
          <w:rFonts w:asciiTheme="minorHAnsi" w:hAnsiTheme="minorHAnsi" w:cstheme="minorHAnsi"/>
          <w:vertAlign w:val="subscript"/>
        </w:rPr>
        <w:t>2</w:t>
      </w:r>
      <w:r w:rsidRPr="00EB1D71">
        <w:rPr>
          <w:rFonts w:asciiTheme="minorHAnsi" w:hAnsiTheme="minorHAnsi" w:cstheme="minorHAnsi"/>
        </w:rPr>
        <w:t xml:space="preserve"> burst) and chemical (pH, extractable</w:t>
      </w:r>
      <w:r w:rsidR="001A6948" w:rsidRPr="00EB1D71">
        <w:rPr>
          <w:rFonts w:asciiTheme="minorHAnsi" w:hAnsiTheme="minorHAnsi" w:cstheme="minorHAnsi"/>
        </w:rPr>
        <w:t xml:space="preserve"> P,</w:t>
      </w:r>
      <w:r w:rsidRPr="00EB1D71">
        <w:rPr>
          <w:rFonts w:asciiTheme="minorHAnsi" w:hAnsiTheme="minorHAnsi" w:cstheme="minorHAnsi"/>
        </w:rPr>
        <w:t xml:space="preserve"> K and Mg) indicators of soil health. Most of the indicators within the scorecard are measured in laboratory from a soil sample, with VESS and earthworm counts measured in field.</w:t>
      </w:r>
    </w:p>
    <w:p w14:paraId="27690E6E"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 xml:space="preserve">Results for each test can be interpreted separately according to a traffic light system that indicates if the indicator value is acceptable (green) or requiring review/adequate (amber) or needs investigation/poor (red). </w:t>
      </w:r>
    </w:p>
    <w:p w14:paraId="3F6949FE"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lastRenderedPageBreak/>
        <w:t xml:space="preserve">The SHSc is designed to provide a routine soil health check (every 3-5 years, ideally at the same point in a crop rotation) to identify areas where more focus or further detailed sampling may be needed. It supports farmers and agronomists when they are evaluating the effects of changes in farming systems or management practices in the medium term. </w:t>
      </w:r>
    </w:p>
    <w:p w14:paraId="086DEB1B" w14:textId="28DA00B3" w:rsidR="00977FAD" w:rsidRPr="00EB1D71" w:rsidRDefault="00977FAD" w:rsidP="00977FAD">
      <w:pPr>
        <w:rPr>
          <w:rFonts w:asciiTheme="minorHAnsi" w:hAnsiTheme="minorHAnsi" w:cstheme="minorHAnsi"/>
        </w:rPr>
      </w:pPr>
      <w:r w:rsidRPr="00EB1D71">
        <w:rPr>
          <w:rFonts w:asciiTheme="minorHAnsi" w:hAnsiTheme="minorHAnsi" w:cstheme="minorHAnsi"/>
        </w:rPr>
        <w:t xml:space="preserve">More recently, in part linked to the surge in interest in regenerative agriculture and a recognition of the importance of soil biological processes underpinning soil health, AHDB levy payers have been requesting updated information on indicators of soil health that provide an early indication of the impacts of soil management changes on soil functions. These early indicators to monitor changes in soil health should provide an indication of the magnitude and direction of change in soil health over a relatively short </w:t>
      </w:r>
      <w:proofErr w:type="gramStart"/>
      <w:r w:rsidRPr="00EB1D71">
        <w:rPr>
          <w:rFonts w:asciiTheme="minorHAnsi" w:hAnsiTheme="minorHAnsi" w:cstheme="minorHAnsi"/>
        </w:rPr>
        <w:t>time period</w:t>
      </w:r>
      <w:proofErr w:type="gramEnd"/>
      <w:r w:rsidRPr="00EB1D71">
        <w:rPr>
          <w:rFonts w:asciiTheme="minorHAnsi" w:hAnsiTheme="minorHAnsi" w:cstheme="minorHAnsi"/>
        </w:rPr>
        <w:t xml:space="preserve"> (1-2 years). The ideal indicator needs to be directly linked to key soil functions aligned with the list above, like nutrient supply, water cycle regulation, climate mitigation, and ultimately crop yield and resilience. And finally, an ideal indicator will </w:t>
      </w:r>
      <w:r w:rsidR="00360E5A" w:rsidRPr="00EB1D71">
        <w:rPr>
          <w:rFonts w:asciiTheme="minorHAnsi" w:hAnsiTheme="minorHAnsi" w:cstheme="minorHAnsi"/>
        </w:rPr>
        <w:t xml:space="preserve">be sufficiently </w:t>
      </w:r>
      <w:r w:rsidRPr="00EB1D71">
        <w:rPr>
          <w:rFonts w:asciiTheme="minorHAnsi" w:hAnsiTheme="minorHAnsi" w:cstheme="minorHAnsi"/>
        </w:rPr>
        <w:t xml:space="preserve">sensitivity </w:t>
      </w:r>
      <w:r w:rsidR="00360E5A" w:rsidRPr="00EB1D71">
        <w:rPr>
          <w:rFonts w:asciiTheme="minorHAnsi" w:hAnsiTheme="minorHAnsi" w:cstheme="minorHAnsi"/>
        </w:rPr>
        <w:t>to r</w:t>
      </w:r>
      <w:r w:rsidRPr="00EB1D71">
        <w:rPr>
          <w:rFonts w:asciiTheme="minorHAnsi" w:hAnsiTheme="minorHAnsi" w:cstheme="minorHAnsi"/>
        </w:rPr>
        <w:t>eact to recent changes in management, but not so sensitive that recent weather events or changes in crop species will affect the result.</w:t>
      </w:r>
    </w:p>
    <w:p w14:paraId="0608EB8F" w14:textId="6CD9D18F" w:rsidR="00977FAD" w:rsidRPr="00EB1D71" w:rsidRDefault="00977FAD" w:rsidP="00977FAD">
      <w:pPr>
        <w:rPr>
          <w:rFonts w:asciiTheme="minorHAnsi" w:hAnsiTheme="minorHAnsi" w:cstheme="minorHAnsi"/>
        </w:rPr>
      </w:pPr>
      <w:r w:rsidRPr="00EB1D71">
        <w:rPr>
          <w:rFonts w:asciiTheme="minorHAnsi" w:hAnsiTheme="minorHAnsi" w:cstheme="minorHAnsi"/>
        </w:rPr>
        <w:t>Levy payer interest in early indicators of soil health resulted in an invitation to tender by the AHDB in 2025 to update guidance for UK farmers on “early indicators to monitor changes in soil health”. The overall goal was to improve levy-payer confidence in measuring and monitoring soil health, particularly focused on those indicators that are most suited to providing an early indication of a positive change in soil health.</w:t>
      </w:r>
    </w:p>
    <w:p w14:paraId="2DA6B5C1"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 xml:space="preserve">This project was conceived in response to the above-mentioned tender. It was designed to rapidly evaluate the evidence for a selection of early indicators to monitor changes in soil health. </w:t>
      </w:r>
    </w:p>
    <w:p w14:paraId="3448FBE4"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The tender requested that a preliminary list of possible indicators was provided at the bidding stage. The following indicators were proposed:</w:t>
      </w:r>
    </w:p>
    <w:p w14:paraId="6EF43337" w14:textId="5050B886" w:rsidR="00977FAD" w:rsidRPr="00EB1D71" w:rsidRDefault="00977FAD" w:rsidP="003F0CCD">
      <w:pPr>
        <w:pStyle w:val="ListParagraph"/>
        <w:numPr>
          <w:ilvl w:val="0"/>
          <w:numId w:val="21"/>
        </w:numPr>
        <w:rPr>
          <w:rFonts w:asciiTheme="minorHAnsi" w:hAnsiTheme="minorHAnsi" w:cstheme="minorHAnsi"/>
        </w:rPr>
      </w:pPr>
      <w:r w:rsidRPr="00EB1D71">
        <w:rPr>
          <w:rFonts w:asciiTheme="minorHAnsi" w:hAnsiTheme="minorHAnsi" w:cstheme="minorHAnsi"/>
        </w:rPr>
        <w:t xml:space="preserve">Earthworms </w:t>
      </w:r>
    </w:p>
    <w:p w14:paraId="295DB992" w14:textId="488E53F5" w:rsidR="00977FAD" w:rsidRPr="00EB1D71" w:rsidRDefault="00977FAD" w:rsidP="00977FAD">
      <w:pPr>
        <w:rPr>
          <w:rFonts w:asciiTheme="minorHAnsi" w:hAnsiTheme="minorHAnsi" w:cstheme="minorHAnsi"/>
        </w:rPr>
      </w:pPr>
      <w:r w:rsidRPr="00EB1D71">
        <w:rPr>
          <w:rFonts w:asciiTheme="minorHAnsi" w:hAnsiTheme="minorHAnsi" w:cstheme="minorHAnsi"/>
        </w:rPr>
        <w:t>Earthworms</w:t>
      </w:r>
      <w:r w:rsidR="005B7037" w:rsidRPr="00EB1D71">
        <w:rPr>
          <w:rFonts w:asciiTheme="minorHAnsi" w:hAnsiTheme="minorHAnsi" w:cstheme="minorHAnsi"/>
        </w:rPr>
        <w:t>, which</w:t>
      </w:r>
      <w:r w:rsidRPr="00EB1D71">
        <w:rPr>
          <w:rFonts w:asciiTheme="minorHAnsi" w:hAnsiTheme="minorHAnsi" w:cstheme="minorHAnsi"/>
        </w:rPr>
        <w:t xml:space="preserve"> are currently part of the AHDB Soil Health Scorecard, were chosen due to their ease of measurement (for total counts) and some indications that they are sensitive to management, particularly tillage (Deeks &amp; Rickson, 2023).  </w:t>
      </w:r>
    </w:p>
    <w:p w14:paraId="4F76F4B9" w14:textId="0E5DBE69" w:rsidR="00977FAD" w:rsidRPr="00EB1D71" w:rsidRDefault="00977FAD" w:rsidP="003F0CCD">
      <w:pPr>
        <w:pStyle w:val="ListParagraph"/>
        <w:numPr>
          <w:ilvl w:val="0"/>
          <w:numId w:val="21"/>
        </w:numPr>
        <w:rPr>
          <w:rFonts w:asciiTheme="minorHAnsi" w:hAnsiTheme="minorHAnsi" w:cstheme="minorHAnsi"/>
        </w:rPr>
      </w:pPr>
      <w:r w:rsidRPr="00EB1D71">
        <w:rPr>
          <w:rFonts w:asciiTheme="minorHAnsi" w:hAnsiTheme="minorHAnsi" w:cstheme="minorHAnsi"/>
        </w:rPr>
        <w:t>CO</w:t>
      </w:r>
      <w:r w:rsidRPr="00EB1D71">
        <w:rPr>
          <w:rFonts w:asciiTheme="minorHAnsi" w:hAnsiTheme="minorHAnsi" w:cstheme="minorHAnsi"/>
          <w:vertAlign w:val="subscript"/>
        </w:rPr>
        <w:t>2</w:t>
      </w:r>
      <w:r w:rsidRPr="00EB1D71">
        <w:rPr>
          <w:rFonts w:asciiTheme="minorHAnsi" w:hAnsiTheme="minorHAnsi" w:cstheme="minorHAnsi"/>
        </w:rPr>
        <w:t xml:space="preserve"> burst </w:t>
      </w:r>
    </w:p>
    <w:p w14:paraId="21973E17"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CO</w:t>
      </w:r>
      <w:r w:rsidRPr="00EB1D71">
        <w:rPr>
          <w:rFonts w:asciiTheme="minorHAnsi" w:hAnsiTheme="minorHAnsi" w:cstheme="minorHAnsi"/>
          <w:vertAlign w:val="subscript"/>
        </w:rPr>
        <w:t>2</w:t>
      </w:r>
      <w:r w:rsidRPr="00EB1D71">
        <w:rPr>
          <w:rFonts w:asciiTheme="minorHAnsi" w:hAnsiTheme="minorHAnsi" w:cstheme="minorHAnsi"/>
        </w:rPr>
        <w:t xml:space="preserve"> burst (</w:t>
      </w:r>
      <w:proofErr w:type="spellStart"/>
      <w:r w:rsidRPr="00EB1D71">
        <w:rPr>
          <w:rFonts w:asciiTheme="minorHAnsi" w:hAnsiTheme="minorHAnsi" w:cstheme="minorHAnsi"/>
        </w:rPr>
        <w:t>Franzluebbers</w:t>
      </w:r>
      <w:proofErr w:type="spellEnd"/>
      <w:r w:rsidRPr="00EB1D71">
        <w:rPr>
          <w:rFonts w:asciiTheme="minorHAnsi" w:hAnsiTheme="minorHAnsi" w:cstheme="minorHAnsi"/>
        </w:rPr>
        <w:t xml:space="preserve"> et al., 2000) is currently offered by soil testing labs in the UK as part of a soil health suite of measurements (e.g. Solvita CO</w:t>
      </w:r>
      <w:r w:rsidRPr="00EB1D71">
        <w:rPr>
          <w:rFonts w:asciiTheme="minorHAnsi" w:hAnsiTheme="minorHAnsi" w:cstheme="minorHAnsi"/>
          <w:vertAlign w:val="subscript"/>
        </w:rPr>
        <w:t>2</w:t>
      </w:r>
      <w:r w:rsidRPr="00EB1D71">
        <w:rPr>
          <w:rFonts w:asciiTheme="minorHAnsi" w:hAnsiTheme="minorHAnsi" w:cstheme="minorHAnsi"/>
        </w:rPr>
        <w:t xml:space="preserve"> burst) and has been proposed as a proxy for soil nitrogen supply in the United States (Haney et al., 2001). It is also included on the current AHDB SHSc as an “optional” indicator of soil microbial activity. </w:t>
      </w:r>
    </w:p>
    <w:p w14:paraId="25018305" w14:textId="6358FBFF" w:rsidR="00977FAD" w:rsidRPr="00EB1D71" w:rsidRDefault="00977FAD" w:rsidP="003F0CCD">
      <w:pPr>
        <w:pStyle w:val="ListParagraph"/>
        <w:numPr>
          <w:ilvl w:val="0"/>
          <w:numId w:val="21"/>
        </w:numPr>
        <w:rPr>
          <w:rFonts w:asciiTheme="minorHAnsi" w:hAnsiTheme="minorHAnsi" w:cstheme="minorHAnsi"/>
        </w:rPr>
      </w:pPr>
      <w:r w:rsidRPr="00EB1D71">
        <w:rPr>
          <w:rFonts w:asciiTheme="minorHAnsi" w:hAnsiTheme="minorHAnsi" w:cstheme="minorHAnsi"/>
        </w:rPr>
        <w:t xml:space="preserve">Potentially mineralisable nitrogen (PMN) </w:t>
      </w:r>
    </w:p>
    <w:p w14:paraId="460C21E5" w14:textId="7B494173" w:rsidR="00977FAD" w:rsidRPr="00EB1D71" w:rsidRDefault="00977FAD" w:rsidP="00977FAD">
      <w:pPr>
        <w:rPr>
          <w:rFonts w:asciiTheme="minorHAnsi" w:hAnsiTheme="minorHAnsi" w:cstheme="minorHAnsi"/>
        </w:rPr>
      </w:pPr>
      <w:r w:rsidRPr="00EB1D71">
        <w:rPr>
          <w:rFonts w:asciiTheme="minorHAnsi" w:hAnsiTheme="minorHAnsi" w:cstheme="minorHAnsi"/>
        </w:rPr>
        <w:t>Potentially mineralisable nitrogen (PMN)</w:t>
      </w:r>
      <w:r w:rsidR="008B3FE3" w:rsidRPr="00EB1D71">
        <w:rPr>
          <w:rFonts w:asciiTheme="minorHAnsi" w:hAnsiTheme="minorHAnsi" w:cstheme="minorHAnsi"/>
        </w:rPr>
        <w:t xml:space="preserve">, </w:t>
      </w:r>
      <w:r w:rsidRPr="00EB1D71">
        <w:rPr>
          <w:rFonts w:asciiTheme="minorHAnsi" w:hAnsiTheme="minorHAnsi" w:cstheme="minorHAnsi"/>
        </w:rPr>
        <w:t>another optional indicator of soil microbial activity on the current AHDB SHSc, was included on the list not only as a measure of microbial activity, but also as a property linked more directly to the nitrogen supplying capacity of the soil (Sharifi et al., 2007). PMN is provided by various soil testing laboratories in the UK using the anaerobic incubation method in which the N released from a soil sample immersed in water for 7 days (anaerobic) due to the breakdown of organic compounds (mineralisation) is measured (Keeney, 1982).</w:t>
      </w:r>
    </w:p>
    <w:p w14:paraId="09124514" w14:textId="77777777" w:rsidR="00E56553" w:rsidRPr="00EB1D71" w:rsidRDefault="00E56553" w:rsidP="00977FAD">
      <w:pPr>
        <w:rPr>
          <w:rFonts w:asciiTheme="minorHAnsi" w:hAnsiTheme="minorHAnsi" w:cstheme="minorHAnsi"/>
        </w:rPr>
      </w:pPr>
    </w:p>
    <w:p w14:paraId="0E7B4C53" w14:textId="5C70F609" w:rsidR="00977FAD" w:rsidRPr="00EB1D71" w:rsidRDefault="00977FAD" w:rsidP="003F0CCD">
      <w:pPr>
        <w:pStyle w:val="ListParagraph"/>
        <w:numPr>
          <w:ilvl w:val="0"/>
          <w:numId w:val="21"/>
        </w:numPr>
        <w:rPr>
          <w:rFonts w:asciiTheme="minorHAnsi" w:hAnsiTheme="minorHAnsi" w:cstheme="minorHAnsi"/>
        </w:rPr>
      </w:pPr>
      <w:r w:rsidRPr="00EB1D71">
        <w:rPr>
          <w:rFonts w:asciiTheme="minorHAnsi" w:hAnsiTheme="minorHAnsi" w:cstheme="minorHAnsi"/>
        </w:rPr>
        <w:lastRenderedPageBreak/>
        <w:t>Crop rooting</w:t>
      </w:r>
    </w:p>
    <w:p w14:paraId="2B2BB6F0" w14:textId="4460C533" w:rsidR="00977FAD" w:rsidRPr="00EB1D71" w:rsidRDefault="00977FAD" w:rsidP="00977FAD">
      <w:pPr>
        <w:rPr>
          <w:rFonts w:asciiTheme="minorHAnsi" w:hAnsiTheme="minorHAnsi" w:cstheme="minorHAnsi"/>
        </w:rPr>
      </w:pPr>
      <w:r w:rsidRPr="00EB1D71">
        <w:rPr>
          <w:rFonts w:asciiTheme="minorHAnsi" w:hAnsiTheme="minorHAnsi" w:cstheme="minorHAnsi"/>
        </w:rPr>
        <w:t>Crop rooting based on the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method proposed by Trachsel et al. (2011) and further developed and tested by ADAS in the Horizon Europe Root2Res project and by BOFIN in the TRUTH (Thriving Roots Underpinning Total soil Health) project, provides a direct indication of the conditions for crop growth in the field. It involves field excavation of mature root crowns followed by manual assessment of crop root architecture, angle and branching properties in field plants. Developed in field beans </w:t>
      </w:r>
      <w:proofErr w:type="gramStart"/>
      <w:r w:rsidRPr="00EB1D71">
        <w:rPr>
          <w:rFonts w:asciiTheme="minorHAnsi" w:hAnsiTheme="minorHAnsi" w:cstheme="minorHAnsi"/>
        </w:rPr>
        <w:t>and also</w:t>
      </w:r>
      <w:proofErr w:type="gramEnd"/>
      <w:r w:rsidRPr="00EB1D71">
        <w:rPr>
          <w:rFonts w:asciiTheme="minorHAnsi" w:hAnsiTheme="minorHAnsi" w:cstheme="minorHAnsi"/>
        </w:rPr>
        <w:t xml:space="preserve"> utili</w:t>
      </w:r>
      <w:r w:rsidR="00321D6A" w:rsidRPr="00EB1D71">
        <w:rPr>
          <w:rFonts w:asciiTheme="minorHAnsi" w:hAnsiTheme="minorHAnsi" w:cstheme="minorHAnsi"/>
        </w:rPr>
        <w:t>s</w:t>
      </w:r>
      <w:r w:rsidRPr="00EB1D71">
        <w:rPr>
          <w:rFonts w:asciiTheme="minorHAnsi" w:hAnsiTheme="minorHAnsi" w:cstheme="minorHAnsi"/>
        </w:rPr>
        <w:t xml:space="preserve">ed in cereal crops, there are currently no protocols in place to assess grassland using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The project team viewed it as a newly emerging method for soil health assessment, with potential as a low cost, farmer-implemented measure of soil health. </w:t>
      </w:r>
    </w:p>
    <w:p w14:paraId="2DDEE3F8" w14:textId="749B9108" w:rsidR="00977FAD" w:rsidRPr="00EB1D71" w:rsidRDefault="00977FAD" w:rsidP="003F0CCD">
      <w:pPr>
        <w:pStyle w:val="ListParagraph"/>
        <w:numPr>
          <w:ilvl w:val="0"/>
          <w:numId w:val="21"/>
        </w:numPr>
        <w:rPr>
          <w:rFonts w:asciiTheme="minorHAnsi" w:hAnsiTheme="minorHAnsi" w:cstheme="minorHAnsi"/>
        </w:rPr>
      </w:pPr>
      <w:r w:rsidRPr="00EB1D71">
        <w:rPr>
          <w:rFonts w:asciiTheme="minorHAnsi" w:hAnsiTheme="minorHAnsi" w:cstheme="minorHAnsi"/>
        </w:rPr>
        <w:t>Soil carbon fractions</w:t>
      </w:r>
    </w:p>
    <w:p w14:paraId="5ADC6A39"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 xml:space="preserve">Soil carbon fractions of unprotected (e.g. particulate organic matter or POM), mineral-protected (associated) organic matter (MAOM) (Rocci et al., 2024) and/or labile fractions such as permanganate oxidisable carbon (Lucas &amp; Weil, 2012) and hot water extractable carbon (Ghani et al., 2003) were included as a group as an alternative to soil organic matter or total soil organic carbon which are currently part of the SHSc. There was a perception that some of these fractions (or pools) might be more sensitive to recent changes in management. </w:t>
      </w:r>
    </w:p>
    <w:p w14:paraId="3C82963A" w14:textId="07DFE93A" w:rsidR="00977FAD" w:rsidRPr="00EB1D71" w:rsidRDefault="00977FAD" w:rsidP="003F0CCD">
      <w:pPr>
        <w:pStyle w:val="ListParagraph"/>
        <w:numPr>
          <w:ilvl w:val="0"/>
          <w:numId w:val="21"/>
        </w:numPr>
        <w:rPr>
          <w:rFonts w:asciiTheme="minorHAnsi" w:hAnsiTheme="minorHAnsi" w:cstheme="minorHAnsi"/>
        </w:rPr>
      </w:pPr>
      <w:r w:rsidRPr="00EB1D71">
        <w:rPr>
          <w:rFonts w:asciiTheme="minorHAnsi" w:hAnsiTheme="minorHAnsi" w:cstheme="minorHAnsi"/>
        </w:rPr>
        <w:t>Aggregate stability</w:t>
      </w:r>
    </w:p>
    <w:p w14:paraId="78C9FAD2" w14:textId="77777777" w:rsidR="00977FAD" w:rsidRPr="00EB1D71" w:rsidRDefault="00977FAD" w:rsidP="00977FAD">
      <w:pPr>
        <w:rPr>
          <w:rFonts w:asciiTheme="minorHAnsi" w:hAnsiTheme="minorHAnsi" w:cstheme="minorHAnsi"/>
        </w:rPr>
      </w:pPr>
      <w:r w:rsidRPr="00EB1D71">
        <w:rPr>
          <w:rFonts w:asciiTheme="minorHAnsi" w:hAnsiTheme="minorHAnsi" w:cstheme="minorHAnsi"/>
        </w:rPr>
        <w:t xml:space="preserve">Aggregate stability is a direct measure of soil health related to crop growth and water </w:t>
      </w:r>
      <w:proofErr w:type="gramStart"/>
      <w:r w:rsidRPr="00EB1D71">
        <w:rPr>
          <w:rFonts w:asciiTheme="minorHAnsi" w:hAnsiTheme="minorHAnsi" w:cstheme="minorHAnsi"/>
        </w:rPr>
        <w:t>regulation in particular</w:t>
      </w:r>
      <w:proofErr w:type="gramEnd"/>
      <w:r w:rsidRPr="00EB1D71">
        <w:rPr>
          <w:rFonts w:asciiTheme="minorHAnsi" w:hAnsiTheme="minorHAnsi" w:cstheme="minorHAnsi"/>
        </w:rPr>
        <w:t xml:space="preserve">. Aggregates are formed </w:t>
      </w:r>
      <w:proofErr w:type="gramStart"/>
      <w:r w:rsidRPr="00EB1D71">
        <w:rPr>
          <w:rFonts w:asciiTheme="minorHAnsi" w:hAnsiTheme="minorHAnsi" w:cstheme="minorHAnsi"/>
        </w:rPr>
        <w:t>as a result of</w:t>
      </w:r>
      <w:proofErr w:type="gramEnd"/>
      <w:r w:rsidRPr="00EB1D71">
        <w:rPr>
          <w:rFonts w:asciiTheme="minorHAnsi" w:hAnsiTheme="minorHAnsi" w:cstheme="minorHAnsi"/>
        </w:rPr>
        <w:t xml:space="preserve"> the interaction of soil organisms with soil minerals and organic matter; fungi </w:t>
      </w:r>
      <w:proofErr w:type="gramStart"/>
      <w:r w:rsidRPr="00EB1D71">
        <w:rPr>
          <w:rFonts w:asciiTheme="minorHAnsi" w:hAnsiTheme="minorHAnsi" w:cstheme="minorHAnsi"/>
        </w:rPr>
        <w:t>in particular are</w:t>
      </w:r>
      <w:proofErr w:type="gramEnd"/>
      <w:r w:rsidRPr="00EB1D71">
        <w:rPr>
          <w:rFonts w:asciiTheme="minorHAnsi" w:hAnsiTheme="minorHAnsi" w:cstheme="minorHAnsi"/>
        </w:rPr>
        <w:t xml:space="preserve"> associated with the production of compounds (e.g. glomalin) that cement soil particles together into stable aggregates (</w:t>
      </w:r>
      <w:proofErr w:type="spellStart"/>
      <w:r w:rsidRPr="00EB1D71">
        <w:rPr>
          <w:rFonts w:asciiTheme="minorHAnsi" w:hAnsiTheme="minorHAnsi" w:cstheme="minorHAnsi"/>
        </w:rPr>
        <w:t>Rillig</w:t>
      </w:r>
      <w:proofErr w:type="spellEnd"/>
      <w:r w:rsidRPr="00EB1D71">
        <w:rPr>
          <w:rFonts w:asciiTheme="minorHAnsi" w:hAnsiTheme="minorHAnsi" w:cstheme="minorHAnsi"/>
        </w:rPr>
        <w:t xml:space="preserve">, 2004). Aggregate stability can be measured in a laboratory by wet sieving (sometimes referred to as water stable aggregates) (Kemper &amp; Rosenau, 1986) or slake testing (Collier et al., 2021), but there are also low-cost, farmer-led methods that provide an estimate of aggregate stability (e.g. the slake test that is part of the Soil Mentor app and the Slakes app). The Slakes app uses image analysis to quantify the disintegration of an air-dried aggregates when re-wetted and has been validated in various peer-reviewed studies (Fajardo et al., 2025; Flynn et al., 2020; </w:t>
      </w:r>
      <w:proofErr w:type="spellStart"/>
      <w:r w:rsidRPr="00EB1D71">
        <w:rPr>
          <w:rFonts w:asciiTheme="minorHAnsi" w:hAnsiTheme="minorHAnsi" w:cstheme="minorHAnsi"/>
        </w:rPr>
        <w:t>Trybek</w:t>
      </w:r>
      <w:proofErr w:type="spellEnd"/>
      <w:r w:rsidRPr="00EB1D71">
        <w:rPr>
          <w:rFonts w:asciiTheme="minorHAnsi" w:hAnsiTheme="minorHAnsi" w:cstheme="minorHAnsi"/>
        </w:rPr>
        <w:t xml:space="preserve"> et al., 2026).</w:t>
      </w:r>
    </w:p>
    <w:p w14:paraId="74207BFB" w14:textId="77777777" w:rsidR="00FE2E5D" w:rsidRPr="00EB1D71" w:rsidRDefault="00FE2E5D" w:rsidP="003F0CCD">
      <w:pPr>
        <w:pStyle w:val="ListParagraph"/>
        <w:numPr>
          <w:ilvl w:val="0"/>
          <w:numId w:val="21"/>
        </w:numPr>
        <w:rPr>
          <w:rFonts w:asciiTheme="minorHAnsi" w:hAnsiTheme="minorHAnsi" w:cstheme="minorHAnsi"/>
        </w:rPr>
      </w:pPr>
      <w:r w:rsidRPr="00EB1D71">
        <w:rPr>
          <w:rFonts w:asciiTheme="minorHAnsi" w:hAnsiTheme="minorHAnsi" w:cstheme="minorHAnsi"/>
        </w:rPr>
        <w:t xml:space="preserve">Soil </w:t>
      </w:r>
      <w:proofErr w:type="spellStart"/>
      <w:r w:rsidRPr="00EB1D71">
        <w:rPr>
          <w:rFonts w:asciiTheme="minorHAnsi" w:hAnsiTheme="minorHAnsi" w:cstheme="minorHAnsi"/>
        </w:rPr>
        <w:t>foodweb</w:t>
      </w:r>
      <w:proofErr w:type="spellEnd"/>
      <w:r w:rsidRPr="00EB1D71">
        <w:rPr>
          <w:rFonts w:asciiTheme="minorHAnsi" w:hAnsiTheme="minorHAnsi" w:cstheme="minorHAnsi"/>
        </w:rPr>
        <w:t xml:space="preserve"> approaches</w:t>
      </w:r>
    </w:p>
    <w:p w14:paraId="1D414844" w14:textId="77777777" w:rsidR="00FE2E5D" w:rsidRPr="00EB1D71" w:rsidRDefault="00FE2E5D" w:rsidP="00FE2E5D">
      <w:pPr>
        <w:rPr>
          <w:rFonts w:asciiTheme="minorHAnsi" w:hAnsiTheme="minorHAnsi" w:cstheme="minorHAnsi"/>
        </w:rPr>
      </w:pPr>
      <w:r w:rsidRPr="00EB1D71">
        <w:rPr>
          <w:rFonts w:asciiTheme="minorHAnsi" w:hAnsiTheme="minorHAnsi" w:cstheme="minorHAnsi"/>
        </w:rPr>
        <w:t xml:space="preserve">Soil </w:t>
      </w:r>
      <w:proofErr w:type="spellStart"/>
      <w:r w:rsidRPr="00EB1D71">
        <w:rPr>
          <w:rFonts w:asciiTheme="minorHAnsi" w:hAnsiTheme="minorHAnsi" w:cstheme="minorHAnsi"/>
        </w:rPr>
        <w:t>foodweb</w:t>
      </w:r>
      <w:proofErr w:type="spellEnd"/>
      <w:r w:rsidRPr="00EB1D71">
        <w:rPr>
          <w:rFonts w:asciiTheme="minorHAnsi" w:hAnsiTheme="minorHAnsi" w:cstheme="minorHAnsi"/>
        </w:rPr>
        <w:t xml:space="preserve"> approaches to assessing soil biota (e.g. including active and total bacteria and fungi, and </w:t>
      </w:r>
      <w:proofErr w:type="spellStart"/>
      <w:r w:rsidRPr="00EB1D71">
        <w:rPr>
          <w:rFonts w:asciiTheme="minorHAnsi" w:hAnsiTheme="minorHAnsi" w:cstheme="minorHAnsi"/>
        </w:rPr>
        <w:t>Fungal:Bacterial</w:t>
      </w:r>
      <w:proofErr w:type="spellEnd"/>
      <w:r w:rsidRPr="00EB1D71">
        <w:rPr>
          <w:rFonts w:asciiTheme="minorHAnsi" w:hAnsiTheme="minorHAnsi" w:cstheme="minorHAnsi"/>
        </w:rPr>
        <w:t xml:space="preserve"> ratio) are currently attracting a lot of interest within the farming community. Various commercial laboratories offer these analyses using microscopy; some advisors and farmers are also training in the use of these techniques in home laboratories. The evidence linking these measures with soil health is limited (see Fierer et al., 2021) and the team felt it was important to include these methods in the project to provide improved guidance on their value.</w:t>
      </w:r>
    </w:p>
    <w:p w14:paraId="6C7E2ABF" w14:textId="77777777" w:rsidR="00FE2E5D" w:rsidRPr="00EB1D71" w:rsidRDefault="00FE2E5D" w:rsidP="003F0CCD">
      <w:pPr>
        <w:pStyle w:val="ListParagraph"/>
        <w:numPr>
          <w:ilvl w:val="0"/>
          <w:numId w:val="21"/>
        </w:numPr>
        <w:rPr>
          <w:rFonts w:asciiTheme="minorHAnsi" w:hAnsiTheme="minorHAnsi" w:cstheme="minorHAnsi"/>
        </w:rPr>
      </w:pPr>
      <w:r w:rsidRPr="00EB1D71">
        <w:rPr>
          <w:rFonts w:asciiTheme="minorHAnsi" w:hAnsiTheme="minorHAnsi" w:cstheme="minorHAnsi"/>
        </w:rPr>
        <w:t xml:space="preserve">Phospholipid fatty acids (PLFA) </w:t>
      </w:r>
    </w:p>
    <w:p w14:paraId="3F3ADD9E" w14:textId="1A9F3205" w:rsidR="00FE2E5D" w:rsidRPr="00EB1D71" w:rsidRDefault="00FE2E5D" w:rsidP="00FE2E5D">
      <w:pPr>
        <w:rPr>
          <w:rFonts w:asciiTheme="minorHAnsi" w:hAnsiTheme="minorHAnsi" w:cstheme="minorHAnsi"/>
        </w:rPr>
      </w:pPr>
      <w:r w:rsidRPr="00EB1D71">
        <w:rPr>
          <w:rFonts w:asciiTheme="minorHAnsi" w:hAnsiTheme="minorHAnsi" w:cstheme="minorHAnsi"/>
        </w:rPr>
        <w:t xml:space="preserve">Phospholipid fatty acids (PLFA) provide information on total microbial biomass, as well as fungal, bacterial and faunal species groups (Ramsey et al., 2006). This method has been used by academics to characterise soil microbial communities for over 30 years (van Galen et al., 2025). Some commercial laboratories in the UK are exploring the potential of the method as an alternative, more robust approach to describing soil microbial communities than soil </w:t>
      </w:r>
      <w:proofErr w:type="spellStart"/>
      <w:r w:rsidRPr="00EB1D71">
        <w:rPr>
          <w:rFonts w:asciiTheme="minorHAnsi" w:hAnsiTheme="minorHAnsi" w:cstheme="minorHAnsi"/>
        </w:rPr>
        <w:t>foodweb</w:t>
      </w:r>
      <w:proofErr w:type="spellEnd"/>
      <w:r w:rsidRPr="00EB1D71">
        <w:rPr>
          <w:rFonts w:asciiTheme="minorHAnsi" w:hAnsiTheme="minorHAnsi" w:cstheme="minorHAnsi"/>
        </w:rPr>
        <w:t xml:space="preserve"> microscopy techniques.</w:t>
      </w:r>
    </w:p>
    <w:p w14:paraId="006A2A5C" w14:textId="77777777" w:rsidR="00FD5CA8" w:rsidRPr="00EB1D71" w:rsidRDefault="00FD5CA8" w:rsidP="00FE2E5D">
      <w:pPr>
        <w:rPr>
          <w:rFonts w:asciiTheme="minorHAnsi" w:hAnsiTheme="minorHAnsi" w:cstheme="minorHAnsi"/>
        </w:rPr>
      </w:pPr>
    </w:p>
    <w:p w14:paraId="5054D688" w14:textId="77777777" w:rsidR="00FE2E5D" w:rsidRPr="00EB1D71" w:rsidRDefault="00FE2E5D" w:rsidP="003F0CCD">
      <w:pPr>
        <w:pStyle w:val="ListParagraph"/>
        <w:numPr>
          <w:ilvl w:val="0"/>
          <w:numId w:val="21"/>
        </w:numPr>
        <w:rPr>
          <w:rFonts w:asciiTheme="minorHAnsi" w:hAnsiTheme="minorHAnsi" w:cstheme="minorHAnsi"/>
        </w:rPr>
      </w:pPr>
      <w:r w:rsidRPr="00EB1D71">
        <w:rPr>
          <w:rFonts w:asciiTheme="minorHAnsi" w:hAnsiTheme="minorHAnsi" w:cstheme="minorHAnsi"/>
        </w:rPr>
        <w:lastRenderedPageBreak/>
        <w:t xml:space="preserve">Enzyme assays </w:t>
      </w:r>
    </w:p>
    <w:p w14:paraId="61B6FAF8" w14:textId="77777777" w:rsidR="00FE2E5D" w:rsidRPr="00EB1D71" w:rsidRDefault="00FE2E5D" w:rsidP="00FE2E5D">
      <w:pPr>
        <w:rPr>
          <w:rFonts w:asciiTheme="minorHAnsi" w:hAnsiTheme="minorHAnsi" w:cstheme="minorHAnsi"/>
        </w:rPr>
      </w:pPr>
      <w:r w:rsidRPr="00EB1D71">
        <w:rPr>
          <w:rFonts w:asciiTheme="minorHAnsi" w:hAnsiTheme="minorHAnsi" w:cstheme="minorHAnsi"/>
        </w:rPr>
        <w:t>Enzyme assays e.g. β-glucosidase, N-acetyl-β-D-</w:t>
      </w:r>
      <w:proofErr w:type="spellStart"/>
      <w:r w:rsidRPr="00EB1D71">
        <w:rPr>
          <w:rFonts w:asciiTheme="minorHAnsi" w:hAnsiTheme="minorHAnsi" w:cstheme="minorHAnsi"/>
        </w:rPr>
        <w:t>glucosaminidase</w:t>
      </w:r>
      <w:proofErr w:type="spellEnd"/>
      <w:r w:rsidRPr="00EB1D71">
        <w:rPr>
          <w:rFonts w:asciiTheme="minorHAnsi" w:hAnsiTheme="minorHAnsi" w:cstheme="minorHAnsi"/>
        </w:rPr>
        <w:t>, phosphatase and aryl sulfatase have been used for more than 40 years (van Galen et al., 2025) as measures of the potential of soils to perform specific functions, particularly those associated with the breakdown of organic compounds in the soil and release of plant nutrients (e.g. P by phosphatase). Recently an ISO standard (ISO 20130:2018) has been published for a high-throughput method for analysis of multiple enzymes using colorimetric substrates in micro-well plates (</w:t>
      </w:r>
      <w:proofErr w:type="spellStart"/>
      <w:r w:rsidRPr="00EB1D71">
        <w:rPr>
          <w:rFonts w:asciiTheme="minorHAnsi" w:hAnsiTheme="minorHAnsi" w:cstheme="minorHAnsi"/>
        </w:rPr>
        <w:t>Cheviron</w:t>
      </w:r>
      <w:proofErr w:type="spellEnd"/>
      <w:r w:rsidRPr="00EB1D71">
        <w:rPr>
          <w:rFonts w:asciiTheme="minorHAnsi" w:hAnsiTheme="minorHAnsi" w:cstheme="minorHAnsi"/>
        </w:rPr>
        <w:t xml:space="preserve"> et al., 2022).</w:t>
      </w:r>
    </w:p>
    <w:p w14:paraId="43C6D496" w14:textId="77777777" w:rsidR="00FE2E5D" w:rsidRPr="00EB1D71" w:rsidRDefault="00FE2E5D" w:rsidP="003F0CCD">
      <w:pPr>
        <w:pStyle w:val="ListParagraph"/>
        <w:numPr>
          <w:ilvl w:val="0"/>
          <w:numId w:val="21"/>
        </w:numPr>
        <w:rPr>
          <w:rFonts w:asciiTheme="minorHAnsi" w:hAnsiTheme="minorHAnsi" w:cstheme="minorHAnsi"/>
        </w:rPr>
      </w:pPr>
      <w:r w:rsidRPr="00EB1D71">
        <w:rPr>
          <w:rFonts w:asciiTheme="minorHAnsi" w:hAnsiTheme="minorHAnsi" w:cstheme="minorHAnsi"/>
        </w:rPr>
        <w:t>Functional gene analysis</w:t>
      </w:r>
    </w:p>
    <w:p w14:paraId="3DD645D3" w14:textId="77777777" w:rsidR="00FE2E5D" w:rsidRPr="00EB1D71" w:rsidRDefault="00FE2E5D" w:rsidP="00FE2E5D">
      <w:pPr>
        <w:rPr>
          <w:rFonts w:asciiTheme="minorHAnsi" w:hAnsiTheme="minorHAnsi" w:cstheme="minorHAnsi"/>
        </w:rPr>
      </w:pPr>
      <w:r w:rsidRPr="00EB1D71">
        <w:rPr>
          <w:rFonts w:asciiTheme="minorHAnsi" w:hAnsiTheme="minorHAnsi" w:cstheme="minorHAnsi"/>
        </w:rPr>
        <w:t xml:space="preserve">Functional gene analysis using qPCR can be conducted as an alternative to the enzyme assays described above. Measures of nitrification (tracking ammonia monooxygenase genes) (Norton et al., 2002), proteolytic activity (Fuka et al., 2008), and nitrogen fixation (e.g. Orr et al., 2012) have been used to distinguish the effects of soil management on these soil processes. However, interpretation frameworks (e.g. for developing traffic light systems) do not exist. </w:t>
      </w:r>
    </w:p>
    <w:p w14:paraId="7A8D0107" w14:textId="4FC79BF0" w:rsidR="003F0CCD" w:rsidRPr="00EB1D71" w:rsidRDefault="003F0CCD" w:rsidP="00FE2E5D">
      <w:pPr>
        <w:rPr>
          <w:rFonts w:asciiTheme="minorHAnsi" w:hAnsiTheme="minorHAnsi" w:cstheme="minorHAnsi"/>
        </w:rPr>
      </w:pPr>
      <w:r w:rsidRPr="00EB1D71">
        <w:rPr>
          <w:rFonts w:asciiTheme="minorHAnsi" w:hAnsiTheme="minorHAnsi" w:cstheme="minorHAnsi"/>
        </w:rPr>
        <w:t xml:space="preserve">The longlisted indicator list included several potentially promising biological indicators. Microbial community structure (the relative abundance of different species of bacteria and fungi) is thought to be relatively sensitive to management and methods to characterise microbial </w:t>
      </w:r>
      <w:proofErr w:type="gramStart"/>
      <w:r w:rsidRPr="00EB1D71">
        <w:rPr>
          <w:rFonts w:asciiTheme="minorHAnsi" w:hAnsiTheme="minorHAnsi" w:cstheme="minorHAnsi"/>
        </w:rPr>
        <w:t>communities</w:t>
      </w:r>
      <w:proofErr w:type="gramEnd"/>
      <w:r w:rsidRPr="00EB1D71">
        <w:rPr>
          <w:rFonts w:asciiTheme="minorHAnsi" w:hAnsiTheme="minorHAnsi" w:cstheme="minorHAnsi"/>
        </w:rPr>
        <w:t xml:space="preserve"> span microscopy, DNA-based methods, and fatty acid profiling. Two methods of assessing soil microbial community structure were thus included on the initial longlist: Soil </w:t>
      </w:r>
      <w:proofErr w:type="spellStart"/>
      <w:r w:rsidRPr="00EB1D71">
        <w:rPr>
          <w:rFonts w:asciiTheme="minorHAnsi" w:hAnsiTheme="minorHAnsi" w:cstheme="minorHAnsi"/>
        </w:rPr>
        <w:t>foodweb</w:t>
      </w:r>
      <w:proofErr w:type="spellEnd"/>
      <w:r w:rsidRPr="00EB1D71">
        <w:rPr>
          <w:rFonts w:asciiTheme="minorHAnsi" w:hAnsiTheme="minorHAnsi" w:cstheme="minorHAnsi"/>
        </w:rPr>
        <w:t xml:space="preserve"> and PLFA. However, while measures of microbial diversity and community structure provide an indication of the species present, they do not directly indicate the health of the soil in relation to key functions delivered by the soil microbial community. For this reason, two approaches to evaluating soil microbial functions were also included: enzyme assays and functional gene analysis.</w:t>
      </w:r>
    </w:p>
    <w:p w14:paraId="63D0BB76" w14:textId="04F027E0" w:rsidR="00977FAD" w:rsidRPr="00E4258E" w:rsidRDefault="00FE2E5D" w:rsidP="00FE2E5D">
      <w:pPr>
        <w:pStyle w:val="Heading3"/>
        <w:rPr>
          <w:rFonts w:asciiTheme="minorHAnsi" w:hAnsiTheme="minorHAnsi" w:cstheme="minorHAnsi"/>
          <w:color w:val="006197" w:themeColor="text1" w:themeShade="BF"/>
        </w:rPr>
      </w:pPr>
      <w:bookmarkStart w:id="6" w:name="_Toc234580960"/>
      <w:r w:rsidRPr="00E4258E">
        <w:rPr>
          <w:rFonts w:asciiTheme="minorHAnsi" w:hAnsiTheme="minorHAnsi" w:cstheme="minorHAnsi"/>
          <w:color w:val="006197" w:themeColor="text1" w:themeShade="BF"/>
        </w:rPr>
        <w:t>Project structure</w:t>
      </w:r>
      <w:bookmarkEnd w:id="6"/>
    </w:p>
    <w:p w14:paraId="31CF919E" w14:textId="2C91F269" w:rsidR="00673348" w:rsidRDefault="003F0CCD" w:rsidP="003F0CCD">
      <w:pPr>
        <w:rPr>
          <w:rFonts w:asciiTheme="minorHAnsi" w:hAnsiTheme="minorHAnsi" w:cstheme="minorHAnsi"/>
        </w:rPr>
      </w:pPr>
      <w:r w:rsidRPr="00EB1D71">
        <w:rPr>
          <w:rFonts w:asciiTheme="minorHAnsi" w:hAnsiTheme="minorHAnsi" w:cstheme="minorHAnsi"/>
        </w:rPr>
        <w:t xml:space="preserve">This project was </w:t>
      </w:r>
      <w:r w:rsidR="00673348">
        <w:rPr>
          <w:rFonts w:asciiTheme="minorHAnsi" w:hAnsiTheme="minorHAnsi" w:cstheme="minorHAnsi"/>
        </w:rPr>
        <w:t xml:space="preserve">split into four work packages and illustrated in </w:t>
      </w:r>
      <w:r w:rsidR="00673348">
        <w:rPr>
          <w:rFonts w:asciiTheme="minorHAnsi" w:hAnsiTheme="minorHAnsi" w:cstheme="minorHAnsi"/>
        </w:rPr>
        <w:fldChar w:fldCharType="begin"/>
      </w:r>
      <w:r w:rsidR="00673348">
        <w:rPr>
          <w:rFonts w:asciiTheme="minorHAnsi" w:hAnsiTheme="minorHAnsi" w:cstheme="minorHAnsi"/>
        </w:rPr>
        <w:instrText xml:space="preserve"> REF _Ref229661155 \h </w:instrText>
      </w:r>
      <w:r w:rsidR="00673348">
        <w:rPr>
          <w:rFonts w:asciiTheme="minorHAnsi" w:hAnsiTheme="minorHAnsi" w:cstheme="minorHAnsi"/>
        </w:rPr>
      </w:r>
      <w:r w:rsidR="00673348">
        <w:rPr>
          <w:rFonts w:asciiTheme="minorHAnsi" w:hAnsiTheme="minorHAnsi" w:cstheme="minorHAnsi"/>
        </w:rPr>
        <w:fldChar w:fldCharType="separate"/>
      </w:r>
      <w:r w:rsidR="00673348" w:rsidRPr="00EB1D71">
        <w:rPr>
          <w:rFonts w:asciiTheme="minorHAnsi" w:hAnsiTheme="minorHAnsi" w:cstheme="minorHAnsi"/>
        </w:rPr>
        <w:t xml:space="preserve">Figure </w:t>
      </w:r>
      <w:r w:rsidR="00673348">
        <w:rPr>
          <w:rFonts w:asciiTheme="minorHAnsi" w:hAnsiTheme="minorHAnsi" w:cstheme="minorHAnsi"/>
          <w:noProof/>
        </w:rPr>
        <w:t>1</w:t>
      </w:r>
      <w:r w:rsidR="00673348">
        <w:rPr>
          <w:rFonts w:asciiTheme="minorHAnsi" w:hAnsiTheme="minorHAnsi" w:cstheme="minorHAnsi"/>
        </w:rPr>
        <w:fldChar w:fldCharType="end"/>
      </w:r>
      <w:r w:rsidR="00673348">
        <w:rPr>
          <w:rFonts w:asciiTheme="minorHAnsi" w:hAnsiTheme="minorHAnsi" w:cstheme="minorHAnsi"/>
        </w:rPr>
        <w:t>:</w:t>
      </w:r>
    </w:p>
    <w:p w14:paraId="1D8A20AD" w14:textId="77777777" w:rsidR="00673348" w:rsidRPr="00197B9E" w:rsidRDefault="00673348" w:rsidP="00673348">
      <w:pPr>
        <w:pStyle w:val="ListParagraph"/>
        <w:numPr>
          <w:ilvl w:val="0"/>
          <w:numId w:val="25"/>
        </w:numPr>
        <w:spacing w:line="278" w:lineRule="auto"/>
        <w:rPr>
          <w:rFonts w:asciiTheme="minorHAnsi" w:hAnsiTheme="minorHAnsi" w:cstheme="minorHAnsi"/>
        </w:rPr>
      </w:pPr>
      <w:r w:rsidRPr="00197B9E">
        <w:rPr>
          <w:rFonts w:asciiTheme="minorHAnsi" w:hAnsiTheme="minorHAnsi" w:cstheme="minorHAnsi"/>
        </w:rPr>
        <w:t>WP1: Project Management</w:t>
      </w:r>
    </w:p>
    <w:p w14:paraId="57144CC3" w14:textId="77777777" w:rsidR="00673348" w:rsidRPr="00197B9E" w:rsidRDefault="00673348" w:rsidP="00673348">
      <w:pPr>
        <w:pStyle w:val="ListParagraph"/>
        <w:numPr>
          <w:ilvl w:val="0"/>
          <w:numId w:val="25"/>
        </w:numPr>
        <w:spacing w:line="278" w:lineRule="auto"/>
        <w:rPr>
          <w:rFonts w:asciiTheme="minorHAnsi" w:hAnsiTheme="minorHAnsi" w:cstheme="minorHAnsi"/>
        </w:rPr>
      </w:pPr>
      <w:r w:rsidRPr="00197B9E">
        <w:rPr>
          <w:rFonts w:asciiTheme="minorHAnsi" w:hAnsiTheme="minorHAnsi" w:cstheme="minorHAnsi"/>
        </w:rPr>
        <w:t>WP2: Evaluation of Evidence</w:t>
      </w:r>
    </w:p>
    <w:p w14:paraId="40D1AC5B" w14:textId="77777777" w:rsidR="00673348" w:rsidRPr="00197B9E" w:rsidRDefault="00673348" w:rsidP="00673348">
      <w:pPr>
        <w:pStyle w:val="ListParagraph"/>
        <w:numPr>
          <w:ilvl w:val="0"/>
          <w:numId w:val="25"/>
        </w:numPr>
        <w:spacing w:line="278" w:lineRule="auto"/>
        <w:rPr>
          <w:rFonts w:asciiTheme="minorHAnsi" w:hAnsiTheme="minorHAnsi" w:cstheme="minorHAnsi"/>
        </w:rPr>
      </w:pPr>
      <w:r w:rsidRPr="00197B9E">
        <w:rPr>
          <w:rFonts w:asciiTheme="minorHAnsi" w:hAnsiTheme="minorHAnsi" w:cstheme="minorHAnsi"/>
        </w:rPr>
        <w:t>WP3: Interpretation Framework</w:t>
      </w:r>
    </w:p>
    <w:p w14:paraId="46CDFEE4" w14:textId="77777777" w:rsidR="00673348" w:rsidRPr="00197B9E" w:rsidRDefault="00673348" w:rsidP="00673348">
      <w:pPr>
        <w:pStyle w:val="ListParagraph"/>
        <w:numPr>
          <w:ilvl w:val="0"/>
          <w:numId w:val="25"/>
        </w:numPr>
        <w:spacing w:line="278" w:lineRule="auto"/>
        <w:rPr>
          <w:rFonts w:asciiTheme="minorHAnsi" w:hAnsiTheme="minorHAnsi" w:cstheme="minorHAnsi"/>
        </w:rPr>
      </w:pPr>
      <w:r w:rsidRPr="00197B9E">
        <w:rPr>
          <w:rFonts w:asciiTheme="minorHAnsi" w:hAnsiTheme="minorHAnsi" w:cstheme="minorHAnsi"/>
        </w:rPr>
        <w:t>WP4: Knowledge Exchange</w:t>
      </w:r>
    </w:p>
    <w:p w14:paraId="24C1A8DE" w14:textId="02EC3211" w:rsidR="00673348" w:rsidRDefault="00673348" w:rsidP="003F0CCD">
      <w:pPr>
        <w:rPr>
          <w:rFonts w:asciiTheme="minorHAnsi" w:hAnsiTheme="minorHAnsi" w:cstheme="minorHAnsi"/>
        </w:rPr>
      </w:pPr>
      <w:r>
        <w:rPr>
          <w:rFonts w:asciiTheme="minorHAnsi" w:hAnsiTheme="minorHAnsi" w:cstheme="minorHAnsi"/>
        </w:rPr>
        <w:t xml:space="preserve">Work package 2 was </w:t>
      </w:r>
      <w:r w:rsidR="003F0CCD" w:rsidRPr="00EB1D71">
        <w:rPr>
          <w:rFonts w:asciiTheme="minorHAnsi" w:hAnsiTheme="minorHAnsi" w:cstheme="minorHAnsi"/>
        </w:rPr>
        <w:t xml:space="preserve">structured to robustly evaluate the evidence for each of the 10 indicators of soil </w:t>
      </w:r>
      <w:r w:rsidRPr="00EB1D71">
        <w:rPr>
          <w:rFonts w:asciiTheme="minorHAnsi" w:hAnsiTheme="minorHAnsi" w:cstheme="minorHAnsi"/>
        </w:rPr>
        <w:t>health using</w:t>
      </w:r>
      <w:r>
        <w:rPr>
          <w:rFonts w:asciiTheme="minorHAnsi" w:hAnsiTheme="minorHAnsi" w:cstheme="minorHAnsi"/>
        </w:rPr>
        <w:t>:</w:t>
      </w:r>
    </w:p>
    <w:p w14:paraId="2C119D1B" w14:textId="71FC0BFC" w:rsidR="00673348" w:rsidRDefault="003F0CCD" w:rsidP="00673348">
      <w:pPr>
        <w:pStyle w:val="ListParagraph"/>
        <w:numPr>
          <w:ilvl w:val="0"/>
          <w:numId w:val="55"/>
        </w:numPr>
        <w:rPr>
          <w:rFonts w:asciiTheme="minorHAnsi" w:hAnsiTheme="minorHAnsi" w:cstheme="minorHAnsi"/>
        </w:rPr>
      </w:pPr>
      <w:r w:rsidRPr="00965293">
        <w:rPr>
          <w:rFonts w:asciiTheme="minorHAnsi" w:hAnsiTheme="minorHAnsi" w:cstheme="minorHAnsi"/>
        </w:rPr>
        <w:t>expert opinion (Task 2.1)</w:t>
      </w:r>
      <w:r w:rsidR="00673348">
        <w:rPr>
          <w:rFonts w:asciiTheme="minorHAnsi" w:hAnsiTheme="minorHAnsi" w:cstheme="minorHAnsi"/>
        </w:rPr>
        <w:t>, building a consensus among a group of experts</w:t>
      </w:r>
    </w:p>
    <w:p w14:paraId="7227A71F" w14:textId="49939F55" w:rsidR="00673348" w:rsidRDefault="003F0CCD" w:rsidP="00673348">
      <w:pPr>
        <w:pStyle w:val="ListParagraph"/>
        <w:numPr>
          <w:ilvl w:val="0"/>
          <w:numId w:val="55"/>
        </w:numPr>
        <w:rPr>
          <w:rFonts w:asciiTheme="minorHAnsi" w:hAnsiTheme="minorHAnsi" w:cstheme="minorHAnsi"/>
        </w:rPr>
      </w:pPr>
      <w:r w:rsidRPr="00965293">
        <w:rPr>
          <w:rFonts w:asciiTheme="minorHAnsi" w:hAnsiTheme="minorHAnsi" w:cstheme="minorHAnsi"/>
        </w:rPr>
        <w:t>published evidence (Task 2.2)</w:t>
      </w:r>
      <w:r w:rsidR="00673348">
        <w:rPr>
          <w:rFonts w:asciiTheme="minorHAnsi" w:hAnsiTheme="minorHAnsi" w:cstheme="minorHAnsi"/>
        </w:rPr>
        <w:t>, a synthesis</w:t>
      </w:r>
      <w:r w:rsidRPr="00965293">
        <w:rPr>
          <w:rFonts w:asciiTheme="minorHAnsi" w:hAnsiTheme="minorHAnsi" w:cstheme="minorHAnsi"/>
        </w:rPr>
        <w:t xml:space="preserve"> </w:t>
      </w:r>
      <w:r w:rsidR="00673348" w:rsidRPr="00485D55">
        <w:rPr>
          <w:rFonts w:asciiTheme="minorHAnsi" w:hAnsiTheme="minorHAnsi" w:cstheme="minorHAnsi"/>
        </w:rPr>
        <w:t>of evidence from key references, including review of data availability and costs</w:t>
      </w:r>
      <w:r w:rsidR="00673348" w:rsidRPr="00673348" w:rsidDel="00673348">
        <w:rPr>
          <w:rFonts w:asciiTheme="minorHAnsi" w:hAnsiTheme="minorHAnsi" w:cstheme="minorHAnsi"/>
        </w:rPr>
        <w:t xml:space="preserve"> </w:t>
      </w:r>
    </w:p>
    <w:p w14:paraId="1AB18296" w14:textId="3F545E84" w:rsidR="00673348" w:rsidRDefault="003F0CCD" w:rsidP="00673348">
      <w:pPr>
        <w:pStyle w:val="ListParagraph"/>
        <w:numPr>
          <w:ilvl w:val="0"/>
          <w:numId w:val="55"/>
        </w:numPr>
        <w:rPr>
          <w:rFonts w:asciiTheme="minorHAnsi" w:hAnsiTheme="minorHAnsi" w:cstheme="minorHAnsi"/>
        </w:rPr>
      </w:pPr>
      <w:r w:rsidRPr="00965293">
        <w:rPr>
          <w:rFonts w:asciiTheme="minorHAnsi" w:hAnsiTheme="minorHAnsi" w:cstheme="minorHAnsi"/>
        </w:rPr>
        <w:t xml:space="preserve">input from industry stakeholders </w:t>
      </w:r>
      <w:r w:rsidR="00673348">
        <w:rPr>
          <w:rFonts w:asciiTheme="minorHAnsi" w:hAnsiTheme="minorHAnsi" w:cstheme="minorHAnsi"/>
        </w:rPr>
        <w:t xml:space="preserve">on the top 4 indicators </w:t>
      </w:r>
      <w:r w:rsidRPr="00965293">
        <w:rPr>
          <w:rFonts w:asciiTheme="minorHAnsi" w:hAnsiTheme="minorHAnsi" w:cstheme="minorHAnsi"/>
        </w:rPr>
        <w:t>(Task 2.3)</w:t>
      </w:r>
      <w:r w:rsidR="00673348">
        <w:rPr>
          <w:rFonts w:asciiTheme="minorHAnsi" w:hAnsiTheme="minorHAnsi" w:cstheme="minorHAnsi"/>
        </w:rPr>
        <w:t>, e</w:t>
      </w:r>
      <w:r w:rsidR="00673348" w:rsidRPr="00485D55">
        <w:rPr>
          <w:rFonts w:asciiTheme="minorHAnsi" w:hAnsiTheme="minorHAnsi" w:cstheme="minorHAnsi"/>
        </w:rPr>
        <w:t>vidence presented and discussed in industry workshops</w:t>
      </w:r>
    </w:p>
    <w:p w14:paraId="241AD518" w14:textId="369E3FD8" w:rsidR="003F0CCD" w:rsidRPr="00F138AB" w:rsidRDefault="003F0CCD" w:rsidP="00673348">
      <w:pPr>
        <w:rPr>
          <w:rFonts w:asciiTheme="minorHAnsi" w:hAnsiTheme="minorHAnsi" w:cstheme="minorHAnsi"/>
        </w:rPr>
      </w:pPr>
      <w:r w:rsidRPr="00BF213C">
        <w:rPr>
          <w:rFonts w:asciiTheme="minorHAnsi" w:hAnsiTheme="minorHAnsi" w:cstheme="minorHAnsi"/>
        </w:rPr>
        <w:t>The AHDB was involved in discussions during each stage of WP2 and provided input on the final decision on the top three indicators after the industry workshops in Task 2.3. Outcomes were translated into interpretation materials (WP3) and findings disseminated (WP4)</w:t>
      </w:r>
      <w:r w:rsidRPr="00F138AB">
        <w:rPr>
          <w:rFonts w:asciiTheme="minorHAnsi" w:hAnsiTheme="minorHAnsi" w:cstheme="minorHAnsi"/>
        </w:rPr>
        <w:t>. The outcome was a final list of indicators that are underpinned by solid scientific evidence that will be acceptable to the wider industry. Details of the methods followed in WP2 and WP3 are outlined below.</w:t>
      </w:r>
    </w:p>
    <w:p w14:paraId="4CDA143B" w14:textId="0434B587" w:rsidR="00FE2E5D" w:rsidRPr="00EB1D71" w:rsidRDefault="00FE2E5D" w:rsidP="003F0CCD">
      <w:pPr>
        <w:pStyle w:val="Caption"/>
        <w:keepNext/>
        <w:rPr>
          <w:rFonts w:asciiTheme="minorHAnsi" w:hAnsiTheme="minorHAnsi" w:cstheme="minorHAnsi"/>
        </w:rPr>
      </w:pPr>
      <w:bookmarkStart w:id="7" w:name="_Ref229661155"/>
      <w:r w:rsidRPr="00EB1D71">
        <w:rPr>
          <w:rFonts w:asciiTheme="minorHAnsi" w:hAnsiTheme="minorHAnsi" w:cstheme="minorHAnsi"/>
        </w:rPr>
        <w:lastRenderedPageBreak/>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1</w:t>
      </w:r>
      <w:r w:rsidR="007D3945">
        <w:rPr>
          <w:rFonts w:asciiTheme="minorHAnsi" w:hAnsiTheme="minorHAnsi" w:cstheme="minorHAnsi"/>
        </w:rPr>
        <w:fldChar w:fldCharType="end"/>
      </w:r>
      <w:bookmarkEnd w:id="7"/>
      <w:r w:rsidRPr="00EB1D71">
        <w:rPr>
          <w:rFonts w:asciiTheme="minorHAnsi" w:hAnsiTheme="minorHAnsi" w:cstheme="minorHAnsi"/>
        </w:rPr>
        <w:t>. Diagram illustrating the</w:t>
      </w:r>
      <w:r w:rsidR="002A1C7C">
        <w:rPr>
          <w:rFonts w:asciiTheme="minorHAnsi" w:hAnsiTheme="minorHAnsi" w:cstheme="minorHAnsi"/>
        </w:rPr>
        <w:t xml:space="preserve"> project structure and</w:t>
      </w:r>
      <w:r w:rsidRPr="00EB1D71">
        <w:rPr>
          <w:rFonts w:asciiTheme="minorHAnsi" w:hAnsiTheme="minorHAnsi" w:cstheme="minorHAnsi"/>
        </w:rPr>
        <w:t xml:space="preserve"> steps followed to evaluate the indicators and arrive at the final shortlist of indicators for development of the interpretation materials</w:t>
      </w:r>
    </w:p>
    <w:p w14:paraId="35AF21D1" w14:textId="77777777" w:rsidR="00FE2E5D" w:rsidRPr="00EB1D71" w:rsidRDefault="00977FAD" w:rsidP="00FE2E5D">
      <w:pPr>
        <w:rPr>
          <w:rFonts w:asciiTheme="minorHAnsi" w:hAnsiTheme="minorHAnsi" w:cstheme="minorHAnsi"/>
        </w:rPr>
      </w:pPr>
      <w:r w:rsidRPr="00EB1D71">
        <w:rPr>
          <w:rFonts w:asciiTheme="minorHAnsi" w:hAnsiTheme="minorHAnsi" w:cstheme="minorHAnsi"/>
          <w:noProof/>
        </w:rPr>
        <w:drawing>
          <wp:inline distT="0" distB="0" distL="0" distR="0" wp14:anchorId="6B841C26" wp14:editId="7E1FD294">
            <wp:extent cx="5759450" cy="3251418"/>
            <wp:effectExtent l="19050" t="19050" r="12700" b="25400"/>
            <wp:docPr id="64676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654" name="Picture 1">
                      <a:extLst>
                        <a:ext uri="{C183D7F6-B498-43B3-948B-1728B52AA6E4}">
                          <adec:decorative xmlns:adec="http://schemas.microsoft.com/office/drawing/2017/decorative" val="1"/>
                        </a:ext>
                      </a:extLst>
                    </pic:cNvPr>
                    <pic:cNvPicPr/>
                  </pic:nvPicPr>
                  <pic:blipFill>
                    <a:blip r:embed="rId18"/>
                    <a:stretch>
                      <a:fillRect/>
                    </a:stretch>
                  </pic:blipFill>
                  <pic:spPr>
                    <a:xfrm>
                      <a:off x="0" y="0"/>
                      <a:ext cx="5759450" cy="3251418"/>
                    </a:xfrm>
                    <a:prstGeom prst="rect">
                      <a:avLst/>
                    </a:prstGeom>
                    <a:ln>
                      <a:solidFill>
                        <a:schemeClr val="bg1">
                          <a:lumMod val="85000"/>
                        </a:schemeClr>
                      </a:solidFill>
                    </a:ln>
                  </pic:spPr>
                </pic:pic>
              </a:graphicData>
            </a:graphic>
          </wp:inline>
        </w:drawing>
      </w:r>
    </w:p>
    <w:p w14:paraId="52EAF398" w14:textId="68E4434E" w:rsidR="00FE2E5D" w:rsidRPr="00EB1D71" w:rsidRDefault="00FE2E5D" w:rsidP="00485D55">
      <w:pPr>
        <w:spacing w:line="278" w:lineRule="auto"/>
        <w:rPr>
          <w:rFonts w:asciiTheme="minorHAnsi" w:hAnsiTheme="minorHAnsi" w:cstheme="minorHAnsi"/>
        </w:rPr>
      </w:pPr>
    </w:p>
    <w:p w14:paraId="4DC730D5" w14:textId="717EE1BC" w:rsidR="00FE2E5D" w:rsidRPr="00EB1D71" w:rsidRDefault="00FE2E5D" w:rsidP="00FE2E5D">
      <w:pPr>
        <w:pStyle w:val="Heading2"/>
        <w:rPr>
          <w:rFonts w:asciiTheme="minorHAnsi" w:hAnsiTheme="minorHAnsi" w:cstheme="minorHAnsi"/>
        </w:rPr>
      </w:pPr>
      <w:bookmarkStart w:id="8" w:name="_Toc234580961"/>
      <w:r w:rsidRPr="00EB1D71">
        <w:rPr>
          <w:rFonts w:asciiTheme="minorHAnsi" w:hAnsiTheme="minorHAnsi" w:cstheme="minorHAnsi"/>
        </w:rPr>
        <w:t>Materials and methods</w:t>
      </w:r>
      <w:bookmarkEnd w:id="8"/>
    </w:p>
    <w:p w14:paraId="6DA93A03" w14:textId="5812F403" w:rsidR="00FE2E5D" w:rsidRPr="002A1C7C" w:rsidRDefault="00FE2E5D" w:rsidP="00FE2E5D">
      <w:pPr>
        <w:pStyle w:val="Heading3"/>
        <w:rPr>
          <w:rFonts w:asciiTheme="minorHAnsi" w:hAnsiTheme="minorHAnsi" w:cstheme="minorHAnsi"/>
          <w:color w:val="006197" w:themeColor="text1" w:themeShade="BF"/>
        </w:rPr>
      </w:pPr>
      <w:bookmarkStart w:id="9" w:name="_Toc234580962"/>
      <w:r w:rsidRPr="002A1C7C">
        <w:rPr>
          <w:rFonts w:asciiTheme="minorHAnsi" w:hAnsiTheme="minorHAnsi" w:cstheme="minorHAnsi"/>
          <w:color w:val="006197" w:themeColor="text1" w:themeShade="BF"/>
        </w:rPr>
        <w:t>Task 2.1 Delphi screening of potential early indicators to monitor change in soil health</w:t>
      </w:r>
      <w:bookmarkEnd w:id="9"/>
    </w:p>
    <w:p w14:paraId="10236EBE" w14:textId="77777777" w:rsidR="00FE2E5D" w:rsidRPr="00EB1D71" w:rsidRDefault="00FE2E5D" w:rsidP="0002287B">
      <w:pPr>
        <w:rPr>
          <w:rFonts w:asciiTheme="minorHAnsi" w:hAnsiTheme="minorHAnsi" w:cstheme="minorHAnsi"/>
        </w:rPr>
      </w:pPr>
      <w:r w:rsidRPr="00EB1D71">
        <w:rPr>
          <w:rFonts w:asciiTheme="minorHAnsi" w:hAnsiTheme="minorHAnsi" w:cstheme="minorHAnsi"/>
        </w:rPr>
        <w:t>A list of 10 possible early indicators to monitor changes in soil health were provided to the AHDB at the proposal stage as outlined in the Introduction. This list was screened using a Delphi approach to identify the top five indicators for more in-depth evidence review. Delphi is a recognised process used by social scientists to arrive at a consensus of expert opinion. The precise steps can vary, but it typically involves iterated questionnaires being presented anonymously to experts, with controlled feedback between rounds, and a final round of responses to produce a group consensus or judgement (</w:t>
      </w:r>
      <w:proofErr w:type="spellStart"/>
      <w:r w:rsidRPr="00EB1D71">
        <w:rPr>
          <w:rFonts w:asciiTheme="minorHAnsi" w:hAnsiTheme="minorHAnsi" w:cstheme="minorHAnsi"/>
        </w:rPr>
        <w:t>Frewer</w:t>
      </w:r>
      <w:proofErr w:type="spellEnd"/>
      <w:r w:rsidRPr="00EB1D71">
        <w:rPr>
          <w:rFonts w:asciiTheme="minorHAnsi" w:hAnsiTheme="minorHAnsi" w:cstheme="minorHAnsi"/>
        </w:rPr>
        <w:t xml:space="preserve"> et al., 2011). In this project the following steps were followed:</w:t>
      </w:r>
    </w:p>
    <w:p w14:paraId="50FC43B6" w14:textId="69E2C5AD" w:rsidR="004564C5" w:rsidRPr="00EB1D71" w:rsidRDefault="00FE2E5D" w:rsidP="0002287B">
      <w:pPr>
        <w:pStyle w:val="ListParagraph"/>
        <w:numPr>
          <w:ilvl w:val="0"/>
          <w:numId w:val="12"/>
        </w:numPr>
        <w:ind w:left="714" w:hanging="357"/>
        <w:rPr>
          <w:rFonts w:asciiTheme="minorHAnsi" w:hAnsiTheme="minorHAnsi" w:cstheme="minorHAnsi"/>
        </w:rPr>
      </w:pPr>
      <w:r w:rsidRPr="00EB1D71">
        <w:rPr>
          <w:rFonts w:asciiTheme="minorHAnsi" w:hAnsiTheme="minorHAnsi" w:cstheme="minorHAnsi"/>
        </w:rPr>
        <w:t>An Industry Reference Group</w:t>
      </w:r>
      <w:r w:rsidR="003F0CCD" w:rsidRPr="00EB1D71">
        <w:rPr>
          <w:rStyle w:val="FootnoteReference"/>
          <w:rFonts w:asciiTheme="minorHAnsi" w:hAnsiTheme="minorHAnsi" w:cstheme="minorHAnsi"/>
        </w:rPr>
        <w:footnoteReference w:id="2"/>
      </w:r>
      <w:r w:rsidRPr="00EB1D71">
        <w:rPr>
          <w:rFonts w:asciiTheme="minorHAnsi" w:hAnsiTheme="minorHAnsi" w:cstheme="minorHAnsi"/>
        </w:rPr>
        <w:t xml:space="preserve"> (IRG) was consulted and asked to comment on and prioritise the list of indicators in an iterative fashion. First, they completed an online survey with questions about the appropriateness of each indicator based on several criteria (e.g. strength of link to soil health, sensitivity, links to ecosystem service delivery). </w:t>
      </w:r>
    </w:p>
    <w:p w14:paraId="4C419D42" w14:textId="56CBB877" w:rsidR="004564C5" w:rsidRPr="00EB1D71" w:rsidRDefault="00FE2E5D" w:rsidP="0002287B">
      <w:pPr>
        <w:pStyle w:val="ListParagraph"/>
        <w:numPr>
          <w:ilvl w:val="0"/>
          <w:numId w:val="12"/>
        </w:numPr>
        <w:ind w:left="714" w:hanging="357"/>
        <w:rPr>
          <w:rFonts w:asciiTheme="minorHAnsi" w:hAnsiTheme="minorHAnsi" w:cstheme="minorHAnsi"/>
        </w:rPr>
      </w:pPr>
      <w:r w:rsidRPr="00EB1D71">
        <w:rPr>
          <w:rFonts w:asciiTheme="minorHAnsi" w:hAnsiTheme="minorHAnsi" w:cstheme="minorHAnsi"/>
        </w:rPr>
        <w:t>In line with standard Delphi methodology, respondents were then provided with a summary of the results of the first survey (</w:t>
      </w:r>
      <w:r w:rsidR="00795F35">
        <w:rPr>
          <w:rFonts w:asciiTheme="minorHAnsi" w:hAnsiTheme="minorHAnsi" w:cstheme="minorHAnsi"/>
        </w:rPr>
        <w:t xml:space="preserve">see </w:t>
      </w:r>
      <w:r w:rsidRPr="00EB1D71">
        <w:rPr>
          <w:rFonts w:asciiTheme="minorHAnsi" w:hAnsiTheme="minorHAnsi" w:cstheme="minorHAnsi"/>
        </w:rPr>
        <w:t xml:space="preserve">Appendix) and then resurveyed with some more probing </w:t>
      </w:r>
      <w:r w:rsidRPr="00EB1D71">
        <w:rPr>
          <w:rFonts w:asciiTheme="minorHAnsi" w:hAnsiTheme="minorHAnsi" w:cstheme="minorHAnsi"/>
        </w:rPr>
        <w:lastRenderedPageBreak/>
        <w:t xml:space="preserve">questions on relative importance of the criteria for ranking indicators and links to ecosystem goods and services (EGS) from soils. Results were used to calculate weighted scores and ranks for each indicator. Weighting factors were calculated from the survey data as described in </w:t>
      </w:r>
      <w:r w:rsidR="00795F35">
        <w:rPr>
          <w:rFonts w:asciiTheme="minorHAnsi" w:hAnsiTheme="minorHAnsi" w:cstheme="minorHAnsi"/>
        </w:rPr>
        <w:t xml:space="preserve">the </w:t>
      </w:r>
      <w:r w:rsidRPr="00EB1D71">
        <w:rPr>
          <w:rFonts w:asciiTheme="minorHAnsi" w:hAnsiTheme="minorHAnsi" w:cstheme="minorHAnsi"/>
        </w:rPr>
        <w:t>Appendix.</w:t>
      </w:r>
    </w:p>
    <w:p w14:paraId="43A4F4D0" w14:textId="282906BB" w:rsidR="00FE2E5D" w:rsidRPr="00EB1D71" w:rsidRDefault="00FE2E5D" w:rsidP="0002287B">
      <w:pPr>
        <w:pStyle w:val="ListParagraph"/>
        <w:numPr>
          <w:ilvl w:val="0"/>
          <w:numId w:val="12"/>
        </w:numPr>
        <w:ind w:left="714" w:hanging="357"/>
        <w:rPr>
          <w:rFonts w:asciiTheme="minorHAnsi" w:hAnsiTheme="minorHAnsi" w:cstheme="minorHAnsi"/>
        </w:rPr>
      </w:pPr>
      <w:r w:rsidRPr="00EB1D71">
        <w:rPr>
          <w:rFonts w:asciiTheme="minorHAnsi" w:hAnsiTheme="minorHAnsi" w:cstheme="minorHAnsi"/>
        </w:rPr>
        <w:t xml:space="preserve">The final Delphi stage was to hold an online workshop with the IRG where the ranking of indicators with and without weightings as well as text and graphical representations of additional questions were presented. Participants were asked to first identify their top choices for three indicators to include in the final shortlist: these were the clear-cut or obvious choices (referred to in the workshop as “no brainers”). These were agreed following discussions as a whole group and in breakout rooms. Participants were then asked to consider the less obvious choices and choose two more indicators. These five indicators were discussed within the group in further </w:t>
      </w:r>
      <w:r w:rsidR="004564C5" w:rsidRPr="00EB1D71">
        <w:rPr>
          <w:rFonts w:asciiTheme="minorHAnsi" w:hAnsiTheme="minorHAnsi" w:cstheme="minorHAnsi"/>
        </w:rPr>
        <w:t>detail,</w:t>
      </w:r>
      <w:r w:rsidRPr="00EB1D71">
        <w:rPr>
          <w:rFonts w:asciiTheme="minorHAnsi" w:hAnsiTheme="minorHAnsi" w:cstheme="minorHAnsi"/>
        </w:rPr>
        <w:t xml:space="preserve"> and a final, anonymous survey was conducted to achieve consensus. For each indicator, respondents were asked to vote either “yes” (to </w:t>
      </w:r>
      <w:proofErr w:type="gramStart"/>
      <w:r w:rsidRPr="00EB1D71">
        <w:rPr>
          <w:rFonts w:asciiTheme="minorHAnsi" w:hAnsiTheme="minorHAnsi" w:cstheme="minorHAnsi"/>
        </w:rPr>
        <w:t>definitely include</w:t>
      </w:r>
      <w:proofErr w:type="gramEnd"/>
      <w:r w:rsidRPr="00EB1D71">
        <w:rPr>
          <w:rFonts w:asciiTheme="minorHAnsi" w:hAnsiTheme="minorHAnsi" w:cstheme="minorHAnsi"/>
        </w:rPr>
        <w:t xml:space="preserve"> on the shortlist), “no” (to </w:t>
      </w:r>
      <w:proofErr w:type="gramStart"/>
      <w:r w:rsidRPr="00EB1D71">
        <w:rPr>
          <w:rFonts w:asciiTheme="minorHAnsi" w:hAnsiTheme="minorHAnsi" w:cstheme="minorHAnsi"/>
        </w:rPr>
        <w:t>definitely exclude</w:t>
      </w:r>
      <w:proofErr w:type="gramEnd"/>
      <w:r w:rsidRPr="00EB1D71">
        <w:rPr>
          <w:rFonts w:asciiTheme="minorHAnsi" w:hAnsiTheme="minorHAnsi" w:cstheme="minorHAnsi"/>
        </w:rPr>
        <w:t xml:space="preserve"> from the shortlist), or “unsure” (for indicators with uncertainty or insufficient information to decide). The threshold for inclusion of an indicator on the final shortlist was &gt;70% of “yes” votes for the indicator.</w:t>
      </w:r>
    </w:p>
    <w:p w14:paraId="4B50EB15" w14:textId="77777777" w:rsidR="00CB71D2" w:rsidRPr="00EB1D71" w:rsidRDefault="00FE2E5D" w:rsidP="0002287B">
      <w:pPr>
        <w:rPr>
          <w:rFonts w:asciiTheme="minorHAnsi" w:hAnsiTheme="minorHAnsi" w:cstheme="minorHAnsi"/>
        </w:rPr>
      </w:pPr>
      <w:r w:rsidRPr="00EB1D71">
        <w:rPr>
          <w:rFonts w:asciiTheme="minorHAnsi" w:hAnsiTheme="minorHAnsi" w:cstheme="minorHAnsi"/>
        </w:rPr>
        <w:t>In the second-round survey and during the industry workshop various comments were collected from the IRG. These were collated and synthesised using AI</w:t>
      </w:r>
      <w:r w:rsidR="002B652E" w:rsidRPr="00EB1D71">
        <w:rPr>
          <w:rStyle w:val="FootnoteReference"/>
          <w:rFonts w:asciiTheme="minorHAnsi" w:hAnsiTheme="minorHAnsi" w:cstheme="minorHAnsi"/>
        </w:rPr>
        <w:footnoteReference w:id="3"/>
      </w:r>
      <w:r w:rsidRPr="00EB1D71">
        <w:rPr>
          <w:rFonts w:asciiTheme="minorHAnsi" w:hAnsiTheme="minorHAnsi" w:cstheme="minorHAnsi"/>
        </w:rPr>
        <w:t xml:space="preserve"> to provide some qualitative evidence of the expert opinion on each of the ten indicators. These are summarised in the results section of this report. </w:t>
      </w:r>
    </w:p>
    <w:p w14:paraId="0383C04B" w14:textId="0851F5D7" w:rsidR="00FE2E5D" w:rsidRPr="00EB1D71" w:rsidRDefault="00FE2E5D" w:rsidP="0002287B">
      <w:pPr>
        <w:rPr>
          <w:rFonts w:asciiTheme="minorHAnsi" w:hAnsiTheme="minorHAnsi" w:cstheme="minorHAnsi"/>
        </w:rPr>
      </w:pPr>
      <w:r w:rsidRPr="00EB1D71">
        <w:rPr>
          <w:rFonts w:asciiTheme="minorHAnsi" w:hAnsiTheme="minorHAnsi" w:cstheme="minorHAnsi"/>
        </w:rPr>
        <w:t>Based on the criteria above, consensus was reached for four of the indicators to be taken forward for in-depth evidence review as described in Task 2.2 Evidence review of shortlisted early indicators for soil health. For indicators where more than one method may be used to measure it, a “preferred” method and a “secondary” method were identified to assist with weighting outcomes of the evidence review (see Results for details).</w:t>
      </w:r>
    </w:p>
    <w:p w14:paraId="4A0AFF97" w14:textId="79A7F354" w:rsidR="00FE2E5D" w:rsidRPr="002A1C7C" w:rsidRDefault="00FE2E5D" w:rsidP="00FE2E5D">
      <w:pPr>
        <w:pStyle w:val="Heading3"/>
        <w:rPr>
          <w:rFonts w:asciiTheme="minorHAnsi" w:hAnsiTheme="minorHAnsi" w:cstheme="minorHAnsi"/>
          <w:color w:val="006197" w:themeColor="text1" w:themeShade="BF"/>
        </w:rPr>
      </w:pPr>
      <w:bookmarkStart w:id="10" w:name="_Toc234580963"/>
      <w:r w:rsidRPr="002A1C7C">
        <w:rPr>
          <w:rFonts w:asciiTheme="minorHAnsi" w:hAnsiTheme="minorHAnsi" w:cstheme="minorHAnsi"/>
          <w:color w:val="006197" w:themeColor="text1" w:themeShade="BF"/>
        </w:rPr>
        <w:t>Task 2.2 Evidence review of shortlisted indicators</w:t>
      </w:r>
      <w:bookmarkEnd w:id="10"/>
    </w:p>
    <w:p w14:paraId="13B988E0" w14:textId="7F35B4AE" w:rsidR="00FE2E5D" w:rsidRPr="00EB1D71" w:rsidRDefault="00FE2E5D" w:rsidP="0002287B">
      <w:pPr>
        <w:rPr>
          <w:rFonts w:asciiTheme="minorHAnsi" w:hAnsiTheme="minorHAnsi" w:cstheme="minorHAnsi"/>
        </w:rPr>
      </w:pPr>
      <w:r w:rsidRPr="00EB1D71">
        <w:rPr>
          <w:rFonts w:asciiTheme="minorHAnsi" w:hAnsiTheme="minorHAnsi" w:cstheme="minorHAnsi"/>
        </w:rPr>
        <w:t xml:space="preserve">A selection of “key references” was used as the basis for the evidence review. These were all recent reviews of evidence for soil health indicators and included extensive bibliographies which were mined to identify sources relevant to this project. This approach was chosen to avoid duplication of previous work reviewing the extensive academic literature </w:t>
      </w:r>
      <w:proofErr w:type="gramStart"/>
      <w:r w:rsidRPr="00EB1D71">
        <w:rPr>
          <w:rFonts w:asciiTheme="minorHAnsi" w:hAnsiTheme="minorHAnsi" w:cstheme="minorHAnsi"/>
        </w:rPr>
        <w:t>on the subject of soil</w:t>
      </w:r>
      <w:proofErr w:type="gramEnd"/>
      <w:r w:rsidRPr="00EB1D71">
        <w:rPr>
          <w:rFonts w:asciiTheme="minorHAnsi" w:hAnsiTheme="minorHAnsi" w:cstheme="minorHAnsi"/>
        </w:rPr>
        <w:t xml:space="preserve"> health and soil health indicator selection. References were chosen based on their consideration and reporting </w:t>
      </w:r>
      <w:r w:rsidR="002E48B4" w:rsidRPr="00EB1D71">
        <w:rPr>
          <w:rFonts w:asciiTheme="minorHAnsi" w:hAnsiTheme="minorHAnsi" w:cstheme="minorHAnsi"/>
        </w:rPr>
        <w:t>of six</w:t>
      </w:r>
      <w:r w:rsidR="004965A8" w:rsidRPr="00EB1D71">
        <w:rPr>
          <w:rFonts w:asciiTheme="minorHAnsi" w:hAnsiTheme="minorHAnsi" w:cstheme="minorHAnsi"/>
        </w:rPr>
        <w:t xml:space="preserve"> </w:t>
      </w:r>
      <w:r w:rsidRPr="00EB1D71">
        <w:rPr>
          <w:rFonts w:asciiTheme="minorHAnsi" w:hAnsiTheme="minorHAnsi" w:cstheme="minorHAnsi"/>
        </w:rPr>
        <w:t>selection criteria, as well as whether they considered the relevant shortlisted soil health indicators.</w:t>
      </w:r>
      <w:r w:rsidR="008A4524" w:rsidRPr="00EB1D71">
        <w:rPr>
          <w:rFonts w:asciiTheme="minorHAnsi" w:hAnsiTheme="minorHAnsi" w:cstheme="minorHAnsi"/>
        </w:rPr>
        <w:t xml:space="preserve"> The six selection criteria were: sensitivity </w:t>
      </w:r>
      <w:r w:rsidR="0018246B" w:rsidRPr="00EB1D71">
        <w:rPr>
          <w:rFonts w:asciiTheme="minorHAnsi" w:hAnsiTheme="minorHAnsi" w:cstheme="minorHAnsi"/>
        </w:rPr>
        <w:t xml:space="preserve">to management change, </w:t>
      </w:r>
      <w:r w:rsidR="003C7A33" w:rsidRPr="00EB1D71">
        <w:rPr>
          <w:rFonts w:asciiTheme="minorHAnsi" w:hAnsiTheme="minorHAnsi" w:cstheme="minorHAnsi"/>
        </w:rPr>
        <w:t>usefulness to farmers</w:t>
      </w:r>
      <w:r w:rsidR="007B449E" w:rsidRPr="00EB1D71">
        <w:rPr>
          <w:rFonts w:asciiTheme="minorHAnsi" w:hAnsiTheme="minorHAnsi" w:cstheme="minorHAnsi"/>
        </w:rPr>
        <w:t>, analytical costs, spatial variability/sampling intensity, availability of UK data</w:t>
      </w:r>
      <w:r w:rsidR="00797CB6" w:rsidRPr="00EB1D71">
        <w:rPr>
          <w:rFonts w:asciiTheme="minorHAnsi" w:hAnsiTheme="minorHAnsi" w:cstheme="minorHAnsi"/>
        </w:rPr>
        <w:t xml:space="preserve"> and delivery of ecosystem goods and services</w:t>
      </w:r>
      <w:r w:rsidR="005519F8" w:rsidRPr="00EB1D71">
        <w:rPr>
          <w:rFonts w:asciiTheme="minorHAnsi" w:hAnsiTheme="minorHAnsi" w:cstheme="minorHAnsi"/>
        </w:rPr>
        <w:t xml:space="preserve"> (Figure 2).</w:t>
      </w:r>
    </w:p>
    <w:p w14:paraId="300E3919" w14:textId="2D9D76E4" w:rsidR="0080298D" w:rsidRPr="00EB1D71" w:rsidRDefault="0080298D" w:rsidP="003729DC">
      <w:pPr>
        <w:pStyle w:val="Caption"/>
        <w:keepNext/>
        <w:rPr>
          <w:rFonts w:asciiTheme="minorHAnsi" w:hAnsiTheme="minorHAnsi" w:cstheme="minorHAnsi"/>
        </w:rPr>
      </w:pPr>
      <w:bookmarkStart w:id="11" w:name="_Ref223012780"/>
      <w:bookmarkStart w:id="12" w:name="_Toc228622126"/>
      <w:r w:rsidRPr="00EB1D71">
        <w:rPr>
          <w:rFonts w:asciiTheme="minorHAnsi" w:hAnsiTheme="minorHAnsi" w:cstheme="minorHAnsi"/>
        </w:rPr>
        <w:lastRenderedPageBreak/>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2</w:t>
      </w:r>
      <w:r w:rsidR="007D3945">
        <w:rPr>
          <w:rFonts w:asciiTheme="minorHAnsi" w:hAnsiTheme="minorHAnsi" w:cstheme="minorHAnsi"/>
        </w:rPr>
        <w:fldChar w:fldCharType="end"/>
      </w:r>
      <w:bookmarkEnd w:id="11"/>
      <w:r w:rsidRPr="00EB1D71">
        <w:rPr>
          <w:rFonts w:asciiTheme="minorHAnsi" w:hAnsiTheme="minorHAnsi" w:cstheme="minorHAnsi"/>
        </w:rPr>
        <w:t>. Visual summary of the six assessment criteria utilised in the evidence review</w:t>
      </w:r>
      <w:bookmarkEnd w:id="12"/>
    </w:p>
    <w:p w14:paraId="223DE73A" w14:textId="3BDC5AB6" w:rsidR="0080298D" w:rsidRPr="00EB1D71" w:rsidRDefault="0080298D" w:rsidP="00FE2E5D">
      <w:pPr>
        <w:spacing w:line="278" w:lineRule="auto"/>
        <w:rPr>
          <w:rFonts w:asciiTheme="minorHAnsi" w:hAnsiTheme="minorHAnsi" w:cstheme="minorHAnsi"/>
        </w:rPr>
      </w:pPr>
      <w:r w:rsidRPr="00EB1D71">
        <w:rPr>
          <w:rFonts w:asciiTheme="minorHAnsi" w:hAnsiTheme="minorHAnsi" w:cstheme="minorHAnsi"/>
          <w:noProof/>
        </w:rPr>
        <w:drawing>
          <wp:anchor distT="0" distB="0" distL="114300" distR="114300" simplePos="0" relativeHeight="251658245" behindDoc="0" locked="0" layoutInCell="1" allowOverlap="1" wp14:anchorId="0F90CC44" wp14:editId="198BB103">
            <wp:simplePos x="0" y="0"/>
            <wp:positionH relativeFrom="column">
              <wp:posOffset>23495</wp:posOffset>
            </wp:positionH>
            <wp:positionV relativeFrom="paragraph">
              <wp:posOffset>17145</wp:posOffset>
            </wp:positionV>
            <wp:extent cx="5661314" cy="3657709"/>
            <wp:effectExtent l="19050" t="19050" r="15875" b="19050"/>
            <wp:wrapTopAndBottom/>
            <wp:docPr id="19614984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98487" name="Picture 1">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5661314" cy="3657709"/>
                    </a:xfrm>
                    <a:prstGeom prst="rect">
                      <a:avLst/>
                    </a:prstGeom>
                    <a:ln>
                      <a:solidFill>
                        <a:schemeClr val="bg1">
                          <a:lumMod val="85000"/>
                        </a:schemeClr>
                      </a:solidFill>
                    </a:ln>
                  </pic:spPr>
                </pic:pic>
              </a:graphicData>
            </a:graphic>
            <wp14:sizeRelH relativeFrom="page">
              <wp14:pctWidth>0</wp14:pctWidth>
            </wp14:sizeRelH>
            <wp14:sizeRelV relativeFrom="page">
              <wp14:pctHeight>0</wp14:pctHeight>
            </wp14:sizeRelV>
          </wp:anchor>
        </w:drawing>
      </w:r>
    </w:p>
    <w:p w14:paraId="39DE504F" w14:textId="580472B3" w:rsidR="0080298D" w:rsidRPr="00EB1D71" w:rsidRDefault="0080298D" w:rsidP="00486C79">
      <w:pPr>
        <w:rPr>
          <w:rFonts w:asciiTheme="minorHAnsi" w:hAnsiTheme="minorHAnsi" w:cstheme="minorHAnsi"/>
        </w:rPr>
      </w:pPr>
      <w:r w:rsidRPr="00EB1D71">
        <w:rPr>
          <w:rFonts w:asciiTheme="minorHAnsi" w:hAnsiTheme="minorHAnsi" w:cstheme="minorHAnsi"/>
        </w:rPr>
        <w:t>These key references were:</w:t>
      </w:r>
    </w:p>
    <w:p w14:paraId="20BBC0D7" w14:textId="77777777" w:rsidR="0080298D" w:rsidRPr="00EB1D71" w:rsidRDefault="0080298D" w:rsidP="00486C79">
      <w:pPr>
        <w:pStyle w:val="ListParagraph"/>
        <w:numPr>
          <w:ilvl w:val="0"/>
          <w:numId w:val="13"/>
        </w:numPr>
        <w:spacing w:after="0"/>
        <w:ind w:left="357" w:hanging="357"/>
        <w:rPr>
          <w:rFonts w:asciiTheme="minorHAnsi" w:hAnsiTheme="minorHAnsi" w:cstheme="minorHAnsi"/>
        </w:rPr>
      </w:pPr>
      <w:proofErr w:type="spellStart"/>
      <w:r w:rsidRPr="00EB1D71">
        <w:rPr>
          <w:rFonts w:asciiTheme="minorHAnsi" w:hAnsiTheme="minorHAnsi" w:cstheme="minorHAnsi"/>
        </w:rPr>
        <w:t>Bünemann</w:t>
      </w:r>
      <w:proofErr w:type="spellEnd"/>
      <w:r w:rsidRPr="00EB1D71">
        <w:rPr>
          <w:rFonts w:asciiTheme="minorHAnsi" w:hAnsiTheme="minorHAnsi" w:cstheme="minorHAnsi"/>
        </w:rPr>
        <w:t xml:space="preserve"> et al. 2018. Soil quality – a critical review. Soil Biology &amp; Biochemistry, 120, 105-125.</w:t>
      </w:r>
    </w:p>
    <w:p w14:paraId="5DE1BF49" w14:textId="77777777" w:rsidR="0080298D" w:rsidRPr="00EB1D71" w:rsidRDefault="0080298D" w:rsidP="00486C79">
      <w:pPr>
        <w:pStyle w:val="ListParagraph"/>
        <w:numPr>
          <w:ilvl w:val="0"/>
          <w:numId w:val="13"/>
        </w:numPr>
        <w:spacing w:after="0"/>
        <w:ind w:left="357" w:hanging="357"/>
        <w:rPr>
          <w:rFonts w:asciiTheme="minorHAnsi" w:hAnsiTheme="minorHAnsi" w:cstheme="minorHAnsi"/>
        </w:rPr>
      </w:pPr>
      <w:r w:rsidRPr="00EB1D71">
        <w:rPr>
          <w:rFonts w:asciiTheme="minorHAnsi" w:hAnsiTheme="minorHAnsi" w:cstheme="minorHAnsi"/>
        </w:rPr>
        <w:t>Deeks and Rickson. 2023. JNCC Report 737 Towards Indicators of Soil Health Annex 1: Review and evaluation of existing soil health indicators being used in the UK and internationally.</w:t>
      </w:r>
    </w:p>
    <w:p w14:paraId="387442CA" w14:textId="77777777" w:rsidR="0080298D" w:rsidRPr="00EB1D71" w:rsidRDefault="0080298D" w:rsidP="00486C79">
      <w:pPr>
        <w:pStyle w:val="ListParagraph"/>
        <w:numPr>
          <w:ilvl w:val="0"/>
          <w:numId w:val="13"/>
        </w:numPr>
        <w:spacing w:after="0"/>
        <w:ind w:left="360"/>
        <w:rPr>
          <w:rFonts w:asciiTheme="minorHAnsi" w:hAnsiTheme="minorHAnsi" w:cstheme="minorHAnsi"/>
        </w:rPr>
      </w:pPr>
      <w:r w:rsidRPr="00EB1D71">
        <w:rPr>
          <w:rFonts w:asciiTheme="minorHAnsi" w:hAnsiTheme="minorHAnsi" w:cstheme="minorHAnsi"/>
        </w:rPr>
        <w:t>Griffiths et al. 2018. Final Report No. 91140002-02 Soil Biology and Soil Health Partnership Project 2: Selecting methods to measure soil health and soil biology and the development of a soil health scorecard.</w:t>
      </w:r>
    </w:p>
    <w:p w14:paraId="5F330F1B" w14:textId="77777777" w:rsidR="0080298D" w:rsidRPr="00EB1D71" w:rsidRDefault="0080298D" w:rsidP="00486C79">
      <w:pPr>
        <w:pStyle w:val="ListParagraph"/>
        <w:numPr>
          <w:ilvl w:val="0"/>
          <w:numId w:val="13"/>
        </w:numPr>
        <w:spacing w:after="0"/>
        <w:ind w:left="360"/>
        <w:rPr>
          <w:rFonts w:asciiTheme="minorHAnsi" w:hAnsiTheme="minorHAnsi" w:cstheme="minorHAnsi"/>
        </w:rPr>
      </w:pPr>
      <w:r w:rsidRPr="00EB1D71">
        <w:rPr>
          <w:rFonts w:asciiTheme="minorHAnsi" w:hAnsiTheme="minorHAnsi" w:cstheme="minorHAnsi"/>
        </w:rPr>
        <w:t>Harris et al. 2025. JNCC Report 793, 25 Year Environment Plan Outcome Indicator E7: Healthy soils – proposed method for a soil health indicator for England.</w:t>
      </w:r>
    </w:p>
    <w:p w14:paraId="44D762D7" w14:textId="77777777" w:rsidR="0080298D" w:rsidRPr="00EB1D71" w:rsidRDefault="0080298D" w:rsidP="00486C79">
      <w:pPr>
        <w:pStyle w:val="ListParagraph"/>
        <w:numPr>
          <w:ilvl w:val="0"/>
          <w:numId w:val="13"/>
        </w:numPr>
        <w:spacing w:after="0"/>
        <w:ind w:left="360"/>
        <w:rPr>
          <w:rFonts w:asciiTheme="minorHAnsi" w:hAnsiTheme="minorHAnsi" w:cstheme="minorHAnsi"/>
        </w:rPr>
      </w:pPr>
      <w:proofErr w:type="spellStart"/>
      <w:r w:rsidRPr="00EB1D71">
        <w:rPr>
          <w:rFonts w:asciiTheme="minorHAnsi" w:hAnsiTheme="minorHAnsi" w:cstheme="minorHAnsi"/>
        </w:rPr>
        <w:t>Rinot</w:t>
      </w:r>
      <w:proofErr w:type="spellEnd"/>
      <w:r w:rsidRPr="00EB1D71">
        <w:rPr>
          <w:rFonts w:asciiTheme="minorHAnsi" w:hAnsiTheme="minorHAnsi" w:cstheme="minorHAnsi"/>
        </w:rPr>
        <w:t xml:space="preserve"> et al. 2019. Soil health assessment: A critical review of current methodologies and a proposed new approach. Science of the Total Environment, 648:1484-1491.</w:t>
      </w:r>
    </w:p>
    <w:p w14:paraId="15F79864" w14:textId="77777777" w:rsidR="0080298D" w:rsidRPr="00EB1D71" w:rsidRDefault="0080298D" w:rsidP="00486C79">
      <w:pPr>
        <w:pStyle w:val="ListParagraph"/>
        <w:numPr>
          <w:ilvl w:val="0"/>
          <w:numId w:val="13"/>
        </w:numPr>
        <w:spacing w:after="0"/>
        <w:ind w:left="360"/>
        <w:rPr>
          <w:rFonts w:asciiTheme="minorHAnsi" w:hAnsiTheme="minorHAnsi" w:cstheme="minorHAnsi"/>
        </w:rPr>
      </w:pPr>
      <w:r w:rsidRPr="00EB1D71">
        <w:rPr>
          <w:rFonts w:asciiTheme="minorHAnsi" w:hAnsiTheme="minorHAnsi" w:cstheme="minorHAnsi"/>
        </w:rPr>
        <w:t>Stott. 2019. Recommended Soil Health Indicators and Associated Laboratory Procedures. Soil Health Technical Note No. 450-03.</w:t>
      </w:r>
    </w:p>
    <w:p w14:paraId="569DF657" w14:textId="77777777" w:rsidR="0080298D" w:rsidRPr="00EB1D71" w:rsidRDefault="0080298D" w:rsidP="00D33CF1">
      <w:pPr>
        <w:rPr>
          <w:rFonts w:asciiTheme="minorHAnsi" w:hAnsiTheme="minorHAnsi" w:cstheme="minorHAnsi"/>
        </w:rPr>
      </w:pPr>
    </w:p>
    <w:p w14:paraId="7600E267" w14:textId="77777777" w:rsidR="0080298D" w:rsidRPr="00EB1D71" w:rsidRDefault="0080298D" w:rsidP="00D33CF1">
      <w:pPr>
        <w:rPr>
          <w:rFonts w:asciiTheme="minorHAnsi" w:hAnsiTheme="minorHAnsi" w:cstheme="minorHAnsi"/>
        </w:rPr>
      </w:pPr>
      <w:r w:rsidRPr="00EB1D71">
        <w:rPr>
          <w:rFonts w:asciiTheme="minorHAnsi" w:hAnsiTheme="minorHAnsi" w:cstheme="minorHAnsi"/>
        </w:rPr>
        <w:t xml:space="preserve">Scores for each indicator and each criterion were summarised using a logical sieve, a technique first developed by </w:t>
      </w:r>
      <w:sdt>
        <w:sdtPr>
          <w:rPr>
            <w:rFonts w:asciiTheme="minorHAnsi" w:hAnsiTheme="minorHAnsi" w:cstheme="minorHAnsi"/>
          </w:rPr>
          <w:tag w:val="MENDELEY_CITATION_v3_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"/>
          <w:id w:val="417687199"/>
          <w:placeholder>
            <w:docPart w:val="41CE43AE3A004BD8821B75F9903A1861"/>
          </w:placeholder>
        </w:sdtPr>
        <w:sdtEndPr/>
        <w:sdtContent>
          <w:r w:rsidRPr="00EB1D71">
            <w:rPr>
              <w:rFonts w:asciiTheme="minorHAnsi" w:hAnsiTheme="minorHAnsi" w:cstheme="minorHAnsi"/>
            </w:rPr>
            <w:t>Black et al. (2008)</w:t>
          </w:r>
        </w:sdtContent>
      </w:sdt>
      <w:r w:rsidRPr="00EB1D71">
        <w:rPr>
          <w:rFonts w:asciiTheme="minorHAnsi" w:hAnsiTheme="minorHAnsi" w:cstheme="minorHAnsi"/>
        </w:rPr>
        <w:t xml:space="preserve"> and further refined by </w:t>
      </w:r>
      <w:sdt>
        <w:sdtPr>
          <w:rPr>
            <w:rFonts w:asciiTheme="minorHAnsi" w:hAnsiTheme="minorHAnsi" w:cstheme="minorHAnsi"/>
          </w:rPr>
          <w:tag w:val="MENDELEY_CITATION_v3_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"/>
          <w:id w:val="1811512428"/>
          <w:placeholder>
            <w:docPart w:val="41CE43AE3A004BD8821B75F9903A1861"/>
          </w:placeholder>
        </w:sdtPr>
        <w:sdtEndPr/>
        <w:sdtContent>
          <w:r w:rsidRPr="00EB1D71">
            <w:rPr>
              <w:rFonts w:asciiTheme="minorHAnsi" w:hAnsiTheme="minorHAnsi" w:cstheme="minorHAnsi"/>
            </w:rPr>
            <w:t>Ritz et al. (2009)</w:t>
          </w:r>
        </w:sdtContent>
      </w:sdt>
      <w:r w:rsidRPr="00EB1D71">
        <w:rPr>
          <w:rFonts w:asciiTheme="minorHAnsi" w:hAnsiTheme="minorHAnsi" w:cstheme="minorHAnsi"/>
        </w:rPr>
        <w:t xml:space="preserve">. The method is described by </w:t>
      </w:r>
      <w:sdt>
        <w:sdtPr>
          <w:rPr>
            <w:rFonts w:asciiTheme="minorHAnsi" w:hAnsiTheme="minorHAnsi" w:cstheme="minorHAnsi"/>
          </w:rPr>
          <w:tag w:val="MENDELEY_CITATION_v3_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"/>
          <w:id w:val="-255511160"/>
          <w:placeholder>
            <w:docPart w:val="41CE43AE3A004BD8821B75F9903A1861"/>
          </w:placeholder>
        </w:sdtPr>
        <w:sdtEndPr/>
        <w:sdtContent>
          <w:r w:rsidRPr="00EB1D71">
            <w:rPr>
              <w:rFonts w:asciiTheme="minorHAnsi" w:hAnsiTheme="minorHAnsi" w:cstheme="minorHAnsi"/>
            </w:rPr>
            <w:t>Deeks &amp; Rickson (2023)</w:t>
          </w:r>
        </w:sdtContent>
      </w:sdt>
      <w:r w:rsidRPr="00EB1D71">
        <w:rPr>
          <w:rFonts w:asciiTheme="minorHAnsi" w:hAnsiTheme="minorHAnsi" w:cstheme="minorHAnsi"/>
        </w:rPr>
        <w:t xml:space="preserve"> as follows:</w:t>
      </w:r>
    </w:p>
    <w:p w14:paraId="1AFA79F6" w14:textId="77777777" w:rsidR="0080298D" w:rsidRPr="00EB1D71" w:rsidRDefault="0080298D" w:rsidP="00D33CF1">
      <w:pPr>
        <w:ind w:left="360"/>
        <w:rPr>
          <w:rFonts w:asciiTheme="minorHAnsi" w:hAnsiTheme="minorHAnsi" w:cstheme="minorHAnsi"/>
          <w:i/>
          <w:iCs/>
        </w:rPr>
      </w:pPr>
      <w:r w:rsidRPr="00EB1D71">
        <w:rPr>
          <w:rFonts w:asciiTheme="minorHAnsi" w:hAnsiTheme="minorHAnsi" w:cstheme="minorHAnsi"/>
          <w:i/>
          <w:iCs/>
        </w:rPr>
        <w:t xml:space="preserve">The conceptual framework, which the authors termed a ‘Logical Sieve’ (LS), was originally devised to provide an objective and quantitative means of ranking potential soil biological properties that are used as properties of soil quality / soil health. Run in an MS Excel based software tool, the Logical Sieve approach adopts a formalised method for assessing the relative strengths, weaknesses, and suitability of these candidate soil health measurements. The approach enables </w:t>
      </w:r>
      <w:r w:rsidRPr="00EB1D71">
        <w:rPr>
          <w:rFonts w:asciiTheme="minorHAnsi" w:hAnsiTheme="minorHAnsi" w:cstheme="minorHAnsi"/>
          <w:i/>
          <w:iCs/>
        </w:rPr>
        <w:lastRenderedPageBreak/>
        <w:t>a consistent synthesis of available information and the semi-objective assessment of properties when tested against a series of scientific and technical criteria (known as ‘challenge criteria’).</w:t>
      </w:r>
    </w:p>
    <w:p w14:paraId="7C15B86D" w14:textId="77777777" w:rsidR="0080298D" w:rsidRPr="002A1C7C" w:rsidRDefault="0080298D" w:rsidP="0080298D">
      <w:pPr>
        <w:pStyle w:val="Heading4"/>
        <w:rPr>
          <w:rFonts w:asciiTheme="minorHAnsi" w:hAnsiTheme="minorHAnsi" w:cstheme="minorHAnsi"/>
          <w:color w:val="006197" w:themeColor="text1" w:themeShade="BF"/>
        </w:rPr>
      </w:pPr>
      <w:bookmarkStart w:id="13" w:name="_Toc228622074"/>
      <w:r w:rsidRPr="002A1C7C">
        <w:rPr>
          <w:rFonts w:asciiTheme="minorHAnsi" w:hAnsiTheme="minorHAnsi" w:cstheme="minorHAnsi"/>
          <w:color w:val="006197" w:themeColor="text1" w:themeShade="BF"/>
        </w:rPr>
        <w:t>Methods – Sensitivity to management change</w:t>
      </w:r>
      <w:bookmarkEnd w:id="13"/>
    </w:p>
    <w:p w14:paraId="56C26E7E" w14:textId="10DE878A" w:rsidR="00D33CF1" w:rsidRDefault="0080298D" w:rsidP="00D33CF1">
      <w:pPr>
        <w:rPr>
          <w:rFonts w:asciiTheme="minorHAnsi" w:hAnsiTheme="minorHAnsi" w:cstheme="minorHAnsi"/>
        </w:rPr>
      </w:pPr>
      <w:r w:rsidRPr="00EB1D71">
        <w:rPr>
          <w:rFonts w:asciiTheme="minorHAnsi" w:hAnsiTheme="minorHAnsi" w:cstheme="minorHAnsi"/>
        </w:rPr>
        <w:t xml:space="preserve">The first key challenge criterion for the evaluation of shortlisted indicators was their sensitivity to management change. The results from the key references and their bibliographies were reviewed to select additional studies with titles related to soil indicators and management. The additional papers were accessed to check which indicator had been assessed, the methods, the key results and conclusions from the original source. The rubric used to compile scores aimed to summarise the strength and availability of the evidence in favour of each given indicator’s sensitivity to management change is shown in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_Ref223015395 \h </w:instrText>
      </w:r>
      <w:r w:rsidR="00E522A8"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w:t>
      </w:r>
    </w:p>
    <w:p w14:paraId="7352F460" w14:textId="6DF83005" w:rsidR="0080298D" w:rsidRPr="00EB1D71" w:rsidRDefault="0080298D" w:rsidP="0080298D">
      <w:pPr>
        <w:pStyle w:val="Caption"/>
        <w:rPr>
          <w:rFonts w:asciiTheme="minorHAnsi" w:hAnsiTheme="minorHAnsi" w:cstheme="minorHAnsi"/>
        </w:rPr>
      </w:pPr>
      <w:bookmarkStart w:id="14" w:name="_Ref223015395"/>
      <w:bookmarkStart w:id="15" w:name="_Ref223015390"/>
      <w:bookmarkStart w:id="16" w:name="_Toc228622107"/>
      <w:r w:rsidRPr="00EB1D71">
        <w:rPr>
          <w:rFonts w:asciiTheme="minorHAnsi" w:hAnsiTheme="minorHAnsi" w:cstheme="minorHAnsi"/>
        </w:rPr>
        <w:t xml:space="preserve">Table </w:t>
      </w:r>
      <w:r w:rsidR="009A568B" w:rsidRPr="00EB1D71">
        <w:rPr>
          <w:rFonts w:asciiTheme="minorHAnsi" w:hAnsiTheme="minorHAnsi" w:cstheme="minorHAnsi"/>
        </w:rPr>
        <w:fldChar w:fldCharType="begin"/>
      </w:r>
      <w:r w:rsidR="009A568B" w:rsidRPr="00EB1D71">
        <w:rPr>
          <w:rFonts w:asciiTheme="minorHAnsi" w:hAnsiTheme="minorHAnsi" w:cstheme="minorHAnsi"/>
        </w:rPr>
        <w:instrText xml:space="preserve"> SEQ Table \* ARABIC </w:instrText>
      </w:r>
      <w:r w:rsidR="009A568B" w:rsidRPr="00EB1D71">
        <w:rPr>
          <w:rFonts w:asciiTheme="minorHAnsi" w:hAnsiTheme="minorHAnsi" w:cstheme="minorHAnsi"/>
        </w:rPr>
        <w:fldChar w:fldCharType="separate"/>
      </w:r>
      <w:r w:rsidR="00C400DA">
        <w:rPr>
          <w:rFonts w:asciiTheme="minorHAnsi" w:hAnsiTheme="minorHAnsi" w:cstheme="minorHAnsi"/>
          <w:noProof/>
        </w:rPr>
        <w:t>1</w:t>
      </w:r>
      <w:r w:rsidR="009A568B" w:rsidRPr="00EB1D71">
        <w:rPr>
          <w:rFonts w:asciiTheme="minorHAnsi" w:hAnsiTheme="minorHAnsi" w:cstheme="minorHAnsi"/>
          <w:noProof/>
        </w:rPr>
        <w:fldChar w:fldCharType="end"/>
      </w:r>
      <w:bookmarkEnd w:id="14"/>
      <w:r w:rsidRPr="00EB1D71">
        <w:rPr>
          <w:rFonts w:asciiTheme="minorHAnsi" w:hAnsiTheme="minorHAnsi" w:cstheme="minorHAnsi"/>
        </w:rPr>
        <w:t>. Rubric used to score indicator sensitivity to management practice change utilised in the logical sieve.</w:t>
      </w:r>
      <w:bookmarkEnd w:id="15"/>
      <w:bookmarkEnd w:id="16"/>
    </w:p>
    <w:tbl>
      <w:tblPr>
        <w:tblStyle w:val="Style4"/>
        <w:tblW w:w="0" w:type="auto"/>
        <w:tblLook w:val="04A0" w:firstRow="1" w:lastRow="0" w:firstColumn="1" w:lastColumn="0" w:noHBand="0" w:noVBand="1"/>
      </w:tblPr>
      <w:tblGrid>
        <w:gridCol w:w="968"/>
        <w:gridCol w:w="2288"/>
        <w:gridCol w:w="5804"/>
      </w:tblGrid>
      <w:tr w:rsidR="0080298D" w:rsidRPr="00EB1D71" w14:paraId="08F92249" w14:textId="77777777" w:rsidTr="002A1C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shd w:val="clear" w:color="auto" w:fill="E9F4FC"/>
          </w:tcPr>
          <w:p w14:paraId="5075FDCA" w14:textId="77777777" w:rsidR="0080298D" w:rsidRPr="002A1C7C" w:rsidRDefault="0080298D" w:rsidP="00B22117">
            <w:pPr>
              <w:pStyle w:val="TableHeading-centred-bold"/>
              <w:rPr>
                <w:b/>
                <w:bCs w:val="0"/>
              </w:rPr>
            </w:pPr>
            <w:r w:rsidRPr="002A1C7C">
              <w:rPr>
                <w:bCs w:val="0"/>
              </w:rPr>
              <w:t>Score</w:t>
            </w:r>
          </w:p>
        </w:tc>
        <w:tc>
          <w:tcPr>
            <w:tcW w:w="2288" w:type="dxa"/>
            <w:shd w:val="clear" w:color="auto" w:fill="E9F4FC"/>
          </w:tcPr>
          <w:p w14:paraId="599602FA" w14:textId="77777777" w:rsidR="0080298D" w:rsidRPr="002A1C7C" w:rsidRDefault="0080298D" w:rsidP="00B22117">
            <w:pPr>
              <w:pStyle w:val="TableHeading-centred-bold"/>
              <w:cnfStyle w:val="100000000000" w:firstRow="1" w:lastRow="0" w:firstColumn="0" w:lastColumn="0" w:oddVBand="0" w:evenVBand="0" w:oddHBand="0" w:evenHBand="0" w:firstRowFirstColumn="0" w:firstRowLastColumn="0" w:lastRowFirstColumn="0" w:lastRowLastColumn="0"/>
              <w:rPr>
                <w:b/>
                <w:bCs w:val="0"/>
              </w:rPr>
            </w:pPr>
            <w:r w:rsidRPr="002A1C7C">
              <w:rPr>
                <w:bCs w:val="0"/>
              </w:rPr>
              <w:t>Summary</w:t>
            </w:r>
          </w:p>
        </w:tc>
        <w:tc>
          <w:tcPr>
            <w:tcW w:w="5804" w:type="dxa"/>
            <w:shd w:val="clear" w:color="auto" w:fill="E9F4FC"/>
          </w:tcPr>
          <w:p w14:paraId="6AFD0D6E" w14:textId="77777777" w:rsidR="0080298D" w:rsidRPr="002A1C7C" w:rsidRDefault="0080298D" w:rsidP="00B22117">
            <w:pPr>
              <w:pStyle w:val="TableHeading-centred-bold"/>
              <w:cnfStyle w:val="100000000000" w:firstRow="1" w:lastRow="0" w:firstColumn="0" w:lastColumn="0" w:oddVBand="0" w:evenVBand="0" w:oddHBand="0" w:evenHBand="0" w:firstRowFirstColumn="0" w:firstRowLastColumn="0" w:lastRowFirstColumn="0" w:lastRowLastColumn="0"/>
              <w:rPr>
                <w:b/>
                <w:bCs w:val="0"/>
              </w:rPr>
            </w:pPr>
            <w:r w:rsidRPr="002A1C7C">
              <w:rPr>
                <w:bCs w:val="0"/>
              </w:rPr>
              <w:t>Description</w:t>
            </w:r>
          </w:p>
        </w:tc>
      </w:tr>
      <w:tr w:rsidR="0080298D" w:rsidRPr="00EB1D71" w14:paraId="5F64EB33" w14:textId="77777777" w:rsidTr="00D33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shd w:val="clear" w:color="auto" w:fill="auto"/>
          </w:tcPr>
          <w:p w14:paraId="58A4FE98" w14:textId="77777777" w:rsidR="0080298D" w:rsidRPr="00EB1D71" w:rsidRDefault="0080298D" w:rsidP="002A1C7C">
            <w:pPr>
              <w:pStyle w:val="Table-Body-leftaligned-bold"/>
            </w:pPr>
            <w:r w:rsidRPr="00EB1D71">
              <w:t>3</w:t>
            </w:r>
          </w:p>
        </w:tc>
        <w:tc>
          <w:tcPr>
            <w:tcW w:w="2288" w:type="dxa"/>
            <w:shd w:val="clear" w:color="auto" w:fill="auto"/>
          </w:tcPr>
          <w:p w14:paraId="4CC7F046" w14:textId="77777777" w:rsidR="0080298D" w:rsidRPr="00EB1D71" w:rsidRDefault="0080298D" w:rsidP="002A1C7C">
            <w:pPr>
              <w:pStyle w:val="Table-Body-leftaligned-bold"/>
              <w:jc w:val="center"/>
              <w:cnfStyle w:val="100000000000" w:firstRow="1" w:lastRow="0" w:firstColumn="0" w:lastColumn="0" w:oddVBand="0" w:evenVBand="0" w:oddHBand="0" w:evenHBand="0" w:firstRowFirstColumn="0" w:firstRowLastColumn="0" w:lastRowFirstColumn="0" w:lastRowLastColumn="0"/>
              <w:rPr>
                <w:rFonts w:cstheme="minorHAnsi"/>
              </w:rPr>
            </w:pPr>
            <w:r w:rsidRPr="00EB1D71">
              <w:rPr>
                <w:rFonts w:cstheme="minorHAnsi"/>
              </w:rPr>
              <w:t>Strong evidence in favour</w:t>
            </w:r>
          </w:p>
        </w:tc>
        <w:tc>
          <w:tcPr>
            <w:tcW w:w="5804" w:type="dxa"/>
            <w:shd w:val="clear" w:color="auto" w:fill="auto"/>
          </w:tcPr>
          <w:p w14:paraId="2D598C37" w14:textId="77777777" w:rsidR="0080298D" w:rsidRPr="00EB1D71" w:rsidRDefault="0080298D" w:rsidP="002A1C7C">
            <w:pPr>
              <w:pStyle w:val="Table-Body-leftaligned-bold"/>
              <w:jc w:val="center"/>
              <w:cnfStyle w:val="100000000000" w:firstRow="1" w:lastRow="0" w:firstColumn="0" w:lastColumn="0" w:oddVBand="0" w:evenVBand="0" w:oddHBand="0" w:evenHBand="0" w:firstRowFirstColumn="0" w:firstRowLastColumn="0" w:lastRowFirstColumn="0" w:lastRowLastColumn="0"/>
              <w:rPr>
                <w:rFonts w:cstheme="minorHAnsi"/>
              </w:rPr>
            </w:pPr>
            <w:r w:rsidRPr="00EB1D71">
              <w:rPr>
                <w:rFonts w:cstheme="minorHAnsi"/>
              </w:rPr>
              <w:t>Review finds strong evidence in favour of indicator sensitivity derived from robust statistical analysis of replicated field experiments or through expert consultation</w:t>
            </w:r>
          </w:p>
        </w:tc>
      </w:tr>
      <w:tr w:rsidR="0080298D" w:rsidRPr="00EB1D71" w14:paraId="38D81BB6" w14:textId="77777777" w:rsidTr="00D33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shd w:val="clear" w:color="auto" w:fill="auto"/>
          </w:tcPr>
          <w:p w14:paraId="3D9FFFD5" w14:textId="77777777" w:rsidR="0080298D" w:rsidRPr="00EB1D71" w:rsidRDefault="0080298D" w:rsidP="002A1C7C">
            <w:pPr>
              <w:pStyle w:val="Table-Body-leftaligned-bold"/>
            </w:pPr>
            <w:r w:rsidRPr="00EB1D71">
              <w:t>2</w:t>
            </w:r>
          </w:p>
        </w:tc>
        <w:tc>
          <w:tcPr>
            <w:tcW w:w="2288" w:type="dxa"/>
            <w:shd w:val="clear" w:color="auto" w:fill="auto"/>
          </w:tcPr>
          <w:p w14:paraId="3E267555" w14:textId="77777777" w:rsidR="0080298D" w:rsidRPr="00EB1D71" w:rsidRDefault="0080298D" w:rsidP="002A1C7C">
            <w:pPr>
              <w:pStyle w:val="Table-Body-leftaligned-bold"/>
              <w:jc w:val="center"/>
              <w:cnfStyle w:val="100000000000" w:firstRow="1" w:lastRow="0" w:firstColumn="0" w:lastColumn="0" w:oddVBand="0" w:evenVBand="0" w:oddHBand="0" w:evenHBand="0" w:firstRowFirstColumn="0" w:firstRowLastColumn="0" w:lastRowFirstColumn="0" w:lastRowLastColumn="0"/>
              <w:rPr>
                <w:rFonts w:cstheme="minorHAnsi"/>
              </w:rPr>
            </w:pPr>
            <w:r w:rsidRPr="00EB1D71">
              <w:rPr>
                <w:rFonts w:cstheme="minorHAnsi"/>
              </w:rPr>
              <w:t>Evidence in favour</w:t>
            </w:r>
          </w:p>
        </w:tc>
        <w:tc>
          <w:tcPr>
            <w:tcW w:w="5804" w:type="dxa"/>
            <w:shd w:val="clear" w:color="auto" w:fill="auto"/>
          </w:tcPr>
          <w:p w14:paraId="64700762" w14:textId="77777777" w:rsidR="0080298D" w:rsidRPr="00EB1D71" w:rsidRDefault="0080298D" w:rsidP="002A1C7C">
            <w:pPr>
              <w:pStyle w:val="Table-Body-leftaligned-bold"/>
              <w:jc w:val="center"/>
              <w:cnfStyle w:val="100000000000" w:firstRow="1" w:lastRow="0" w:firstColumn="0" w:lastColumn="0" w:oddVBand="0" w:evenVBand="0" w:oddHBand="0" w:evenHBand="0" w:firstRowFirstColumn="0" w:firstRowLastColumn="0" w:lastRowFirstColumn="0" w:lastRowLastColumn="0"/>
              <w:rPr>
                <w:rFonts w:cstheme="minorHAnsi"/>
              </w:rPr>
            </w:pPr>
            <w:r w:rsidRPr="00EB1D71">
              <w:rPr>
                <w:rFonts w:cstheme="minorHAnsi"/>
              </w:rPr>
              <w:t>Review finds some evidence in favour of indicator sensitivity through robust statistical analysis of replicated field experiments or through expert consultation</w:t>
            </w:r>
          </w:p>
        </w:tc>
      </w:tr>
      <w:tr w:rsidR="0080298D" w:rsidRPr="00EB1D71" w14:paraId="5A8810BE" w14:textId="77777777" w:rsidTr="00D33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shd w:val="clear" w:color="auto" w:fill="auto"/>
          </w:tcPr>
          <w:p w14:paraId="55ABD82D" w14:textId="77777777" w:rsidR="0080298D" w:rsidRPr="00EB1D71" w:rsidRDefault="0080298D" w:rsidP="002A1C7C">
            <w:pPr>
              <w:pStyle w:val="Table-Body-leftaligned-bold"/>
            </w:pPr>
            <w:r w:rsidRPr="00EB1D71">
              <w:t>1</w:t>
            </w:r>
          </w:p>
        </w:tc>
        <w:tc>
          <w:tcPr>
            <w:tcW w:w="2288" w:type="dxa"/>
            <w:shd w:val="clear" w:color="auto" w:fill="auto"/>
          </w:tcPr>
          <w:p w14:paraId="3C9125FE" w14:textId="77777777" w:rsidR="0080298D" w:rsidRPr="00EB1D71" w:rsidRDefault="0080298D" w:rsidP="002A1C7C">
            <w:pPr>
              <w:pStyle w:val="Table-Body-leftaligned-bold"/>
              <w:jc w:val="center"/>
              <w:cnfStyle w:val="100000000000" w:firstRow="1" w:lastRow="0" w:firstColumn="0" w:lastColumn="0" w:oddVBand="0" w:evenVBand="0" w:oddHBand="0" w:evenHBand="0" w:firstRowFirstColumn="0" w:firstRowLastColumn="0" w:lastRowFirstColumn="0" w:lastRowLastColumn="0"/>
              <w:rPr>
                <w:rFonts w:cstheme="minorHAnsi"/>
              </w:rPr>
            </w:pPr>
            <w:r w:rsidRPr="00EB1D71">
              <w:rPr>
                <w:rFonts w:cstheme="minorHAnsi"/>
              </w:rPr>
              <w:t>Inconclusive evidence</w:t>
            </w:r>
          </w:p>
        </w:tc>
        <w:tc>
          <w:tcPr>
            <w:tcW w:w="5804" w:type="dxa"/>
            <w:shd w:val="clear" w:color="auto" w:fill="auto"/>
          </w:tcPr>
          <w:p w14:paraId="276B4D7A" w14:textId="77777777" w:rsidR="0080298D" w:rsidRPr="00EB1D71" w:rsidRDefault="0080298D" w:rsidP="002A1C7C">
            <w:pPr>
              <w:pStyle w:val="Table-Body-leftaligned-bold"/>
              <w:jc w:val="center"/>
              <w:cnfStyle w:val="100000000000" w:firstRow="1" w:lastRow="0" w:firstColumn="0" w:lastColumn="0" w:oddVBand="0" w:evenVBand="0" w:oddHBand="0" w:evenHBand="0" w:firstRowFirstColumn="0" w:firstRowLastColumn="0" w:lastRowFirstColumn="0" w:lastRowLastColumn="0"/>
              <w:rPr>
                <w:rFonts w:cstheme="minorHAnsi"/>
              </w:rPr>
            </w:pPr>
            <w:r w:rsidRPr="00EB1D71">
              <w:rPr>
                <w:rFonts w:cstheme="minorHAnsi"/>
              </w:rPr>
              <w:t>Review reports mixed findings on indicator sensitivity</w:t>
            </w:r>
          </w:p>
        </w:tc>
      </w:tr>
      <w:tr w:rsidR="0080298D" w:rsidRPr="00EB1D71" w14:paraId="04AB09E2" w14:textId="77777777" w:rsidTr="00D33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shd w:val="clear" w:color="auto" w:fill="auto"/>
          </w:tcPr>
          <w:p w14:paraId="30F7378B" w14:textId="77777777" w:rsidR="0080298D" w:rsidRPr="00EB1D71" w:rsidRDefault="0080298D" w:rsidP="002A1C7C">
            <w:pPr>
              <w:pStyle w:val="Table-Body-leftaligned-bold"/>
            </w:pPr>
            <w:r w:rsidRPr="00EB1D71">
              <w:t>0</w:t>
            </w:r>
          </w:p>
        </w:tc>
        <w:tc>
          <w:tcPr>
            <w:tcW w:w="2288" w:type="dxa"/>
            <w:shd w:val="clear" w:color="auto" w:fill="auto"/>
          </w:tcPr>
          <w:p w14:paraId="171AA644" w14:textId="77777777" w:rsidR="0080298D" w:rsidRPr="00EB1D71" w:rsidRDefault="0080298D" w:rsidP="002A1C7C">
            <w:pPr>
              <w:pStyle w:val="Table-Body-leftaligned-bold"/>
              <w:jc w:val="center"/>
              <w:cnfStyle w:val="100000000000" w:firstRow="1" w:lastRow="0" w:firstColumn="0" w:lastColumn="0" w:oddVBand="0" w:evenVBand="0" w:oddHBand="0" w:evenHBand="0" w:firstRowFirstColumn="0" w:firstRowLastColumn="0" w:lastRowFirstColumn="0" w:lastRowLastColumn="0"/>
              <w:rPr>
                <w:rFonts w:cstheme="minorHAnsi"/>
              </w:rPr>
            </w:pPr>
            <w:r w:rsidRPr="00EB1D71">
              <w:rPr>
                <w:rFonts w:cstheme="minorHAnsi"/>
              </w:rPr>
              <w:t>Opposing evidence</w:t>
            </w:r>
          </w:p>
        </w:tc>
        <w:tc>
          <w:tcPr>
            <w:tcW w:w="5804" w:type="dxa"/>
            <w:shd w:val="clear" w:color="auto" w:fill="auto"/>
          </w:tcPr>
          <w:p w14:paraId="74693F37" w14:textId="5B4E17CF" w:rsidR="0080298D" w:rsidRPr="00EB1D71" w:rsidRDefault="0080298D" w:rsidP="002A1C7C">
            <w:pPr>
              <w:pStyle w:val="Table-Body-leftaligned-bold"/>
              <w:jc w:val="center"/>
              <w:cnfStyle w:val="100000000000" w:firstRow="1" w:lastRow="0" w:firstColumn="0" w:lastColumn="0" w:oddVBand="0" w:evenVBand="0" w:oddHBand="0" w:evenHBand="0" w:firstRowFirstColumn="0" w:firstRowLastColumn="0" w:lastRowFirstColumn="0" w:lastRowLastColumn="0"/>
              <w:rPr>
                <w:rFonts w:cstheme="minorHAnsi"/>
              </w:rPr>
            </w:pPr>
            <w:r w:rsidRPr="00EB1D71">
              <w:rPr>
                <w:rFonts w:cstheme="minorHAnsi"/>
              </w:rPr>
              <w:t>Review finds no evidence or evidence to the contrary of indicator sensitivity</w:t>
            </w:r>
          </w:p>
        </w:tc>
      </w:tr>
      <w:tr w:rsidR="0080298D" w:rsidRPr="00EB1D71" w14:paraId="625EAB4F" w14:textId="77777777" w:rsidTr="00D33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 w:type="dxa"/>
            <w:shd w:val="clear" w:color="auto" w:fill="auto"/>
          </w:tcPr>
          <w:p w14:paraId="30A6E1F8" w14:textId="77777777" w:rsidR="0080298D" w:rsidRPr="00EB1D71" w:rsidRDefault="0080298D" w:rsidP="002A1C7C">
            <w:pPr>
              <w:pStyle w:val="Table-Body-leftaligned-bold"/>
            </w:pPr>
            <w:r w:rsidRPr="00EB1D71">
              <w:t>NA</w:t>
            </w:r>
          </w:p>
        </w:tc>
        <w:tc>
          <w:tcPr>
            <w:tcW w:w="2288" w:type="dxa"/>
            <w:shd w:val="clear" w:color="auto" w:fill="auto"/>
          </w:tcPr>
          <w:p w14:paraId="0D37A9C9" w14:textId="77777777" w:rsidR="0080298D" w:rsidRPr="00EB1D71" w:rsidRDefault="0080298D" w:rsidP="002A1C7C">
            <w:pPr>
              <w:pStyle w:val="Table-Body-leftaligned-bold"/>
              <w:jc w:val="center"/>
              <w:cnfStyle w:val="100000000000" w:firstRow="1" w:lastRow="0" w:firstColumn="0" w:lastColumn="0" w:oddVBand="0" w:evenVBand="0" w:oddHBand="0" w:evenHBand="0" w:firstRowFirstColumn="0" w:firstRowLastColumn="0" w:lastRowFirstColumn="0" w:lastRowLastColumn="0"/>
              <w:rPr>
                <w:rFonts w:cstheme="minorHAnsi"/>
              </w:rPr>
            </w:pPr>
            <w:r w:rsidRPr="00EB1D71">
              <w:rPr>
                <w:rFonts w:cstheme="minorHAnsi"/>
              </w:rPr>
              <w:t>Not considered</w:t>
            </w:r>
          </w:p>
        </w:tc>
        <w:tc>
          <w:tcPr>
            <w:tcW w:w="5804" w:type="dxa"/>
            <w:shd w:val="clear" w:color="auto" w:fill="auto"/>
          </w:tcPr>
          <w:p w14:paraId="2B792A76" w14:textId="77777777" w:rsidR="0080298D" w:rsidRPr="00EB1D71" w:rsidRDefault="0080298D" w:rsidP="002A1C7C">
            <w:pPr>
              <w:pStyle w:val="Table-Body-leftaligned-bold"/>
              <w:jc w:val="center"/>
              <w:cnfStyle w:val="100000000000" w:firstRow="1" w:lastRow="0" w:firstColumn="0" w:lastColumn="0" w:oddVBand="0" w:evenVBand="0" w:oddHBand="0" w:evenHBand="0" w:firstRowFirstColumn="0" w:firstRowLastColumn="0" w:lastRowFirstColumn="0" w:lastRowLastColumn="0"/>
              <w:rPr>
                <w:rFonts w:cstheme="minorHAnsi"/>
              </w:rPr>
            </w:pPr>
            <w:r w:rsidRPr="00EB1D71">
              <w:rPr>
                <w:rFonts w:cstheme="minorHAnsi"/>
              </w:rPr>
              <w:t>Review did not consider this indicator/category</w:t>
            </w:r>
          </w:p>
        </w:tc>
      </w:tr>
    </w:tbl>
    <w:p w14:paraId="507BEE61" w14:textId="77777777" w:rsidR="0080298D" w:rsidRPr="00EB1D71" w:rsidRDefault="0080298D" w:rsidP="0080298D">
      <w:pPr>
        <w:rPr>
          <w:rFonts w:asciiTheme="minorHAnsi" w:hAnsiTheme="minorHAnsi" w:cstheme="minorHAnsi"/>
        </w:rPr>
      </w:pPr>
    </w:p>
    <w:p w14:paraId="24AC0531" w14:textId="764FFAD8" w:rsidR="0080298D" w:rsidRPr="00EB1D71" w:rsidRDefault="0080298D" w:rsidP="00D33CF1">
      <w:pPr>
        <w:rPr>
          <w:rFonts w:asciiTheme="minorHAnsi" w:hAnsiTheme="minorHAnsi" w:cstheme="minorHAnsi"/>
        </w:rPr>
      </w:pPr>
      <w:r w:rsidRPr="00EB1D71">
        <w:rPr>
          <w:rFonts w:asciiTheme="minorHAnsi" w:hAnsiTheme="minorHAnsi" w:cstheme="minorHAnsi"/>
        </w:rPr>
        <w:t xml:space="preserve">Of all the key references, only </w:t>
      </w:r>
      <w:proofErr w:type="spellStart"/>
      <w:r w:rsidRPr="00EB1D71">
        <w:rPr>
          <w:rFonts w:asciiTheme="minorHAnsi" w:hAnsiTheme="minorHAnsi" w:cstheme="minorHAnsi"/>
        </w:rPr>
        <w:t>Rinot</w:t>
      </w:r>
      <w:proofErr w:type="spellEnd"/>
      <w:r w:rsidRPr="00EB1D71">
        <w:rPr>
          <w:rFonts w:asciiTheme="minorHAnsi" w:hAnsiTheme="minorHAnsi" w:cstheme="minorHAnsi"/>
        </w:rPr>
        <w:t xml:space="preserve"> et al, (2019) did not consider indicator sensitivity to management change, instead focusing on EGS provision. Each indicator was assessed and scored separately for its sensitivity to management practice change. Scores were averaged to give an overall indication of the findings from the academic literature in relation to each specified indicator and its sensitivity to management practice change. The resulting average scores for each indicator were then incorporated into the main logical sieve under the category “sensitivity”.</w:t>
      </w:r>
    </w:p>
    <w:p w14:paraId="5A47DAB3" w14:textId="77777777" w:rsidR="0080298D" w:rsidRPr="002A1C7C" w:rsidRDefault="0080298D" w:rsidP="0080298D">
      <w:pPr>
        <w:pStyle w:val="Heading4"/>
        <w:rPr>
          <w:rFonts w:asciiTheme="minorHAnsi" w:hAnsiTheme="minorHAnsi" w:cstheme="minorHAnsi"/>
          <w:color w:val="006197" w:themeColor="text1" w:themeShade="BF"/>
        </w:rPr>
      </w:pPr>
      <w:bookmarkStart w:id="17" w:name="_Toc228622075"/>
      <w:r w:rsidRPr="002A1C7C">
        <w:rPr>
          <w:rFonts w:asciiTheme="minorHAnsi" w:hAnsiTheme="minorHAnsi" w:cstheme="minorHAnsi"/>
          <w:color w:val="006197" w:themeColor="text1" w:themeShade="BF"/>
        </w:rPr>
        <w:t>Methods – Link to delivery of EGS</w:t>
      </w:r>
      <w:bookmarkEnd w:id="17"/>
    </w:p>
    <w:p w14:paraId="180F9831" w14:textId="5E722ACA" w:rsidR="00CA7092" w:rsidRDefault="0080298D" w:rsidP="00486C79">
      <w:pPr>
        <w:rPr>
          <w:rFonts w:asciiTheme="minorHAnsi" w:hAnsiTheme="minorHAnsi" w:cstheme="minorHAnsi"/>
        </w:rPr>
      </w:pPr>
      <w:r w:rsidRPr="00EB1D71">
        <w:rPr>
          <w:rFonts w:asciiTheme="minorHAnsi" w:hAnsiTheme="minorHAnsi" w:cstheme="minorHAnsi"/>
        </w:rPr>
        <w:t>The second key challenge criterion was delivery of ecosystem goods and services (EGS). The links between the shortlisted indicators and their capacity to detect early change in the delivery of EGS were determined through a rapid review of academic literature, commencing with the key references outlined in Section 4.2. Six EGS were specified for inclusion in the logical sieve</w:t>
      </w:r>
      <w:r w:rsidR="003D271E" w:rsidRPr="00EB1D71">
        <w:rPr>
          <w:rFonts w:asciiTheme="minorHAnsi" w:hAnsiTheme="minorHAnsi" w:cstheme="minorHAnsi"/>
        </w:rPr>
        <w:t xml:space="preserve">: </w:t>
      </w:r>
      <w:r w:rsidR="00654C99" w:rsidRPr="00EB1D71">
        <w:rPr>
          <w:rFonts w:asciiTheme="minorHAnsi" w:hAnsiTheme="minorHAnsi" w:cstheme="minorHAnsi"/>
        </w:rPr>
        <w:t>food, feed and fibre production; nutrient cycling (N); nutrient cycling (P and K); water regulation (flood prevention); water regulation (drought alleviation)</w:t>
      </w:r>
      <w:r w:rsidR="002A4556" w:rsidRPr="00EB1D71">
        <w:rPr>
          <w:rFonts w:asciiTheme="minorHAnsi" w:hAnsiTheme="minorHAnsi" w:cstheme="minorHAnsi"/>
        </w:rPr>
        <w:t>; climate change mitigation (carbon sequestration)</w:t>
      </w:r>
      <w:r w:rsidRPr="00EB1D71">
        <w:rPr>
          <w:rFonts w:asciiTheme="minorHAnsi" w:hAnsiTheme="minorHAnsi" w:cstheme="minorHAnsi"/>
        </w:rPr>
        <w:t xml:space="preserve"> (</w:t>
      </w:r>
      <w:r w:rsidR="006329C4" w:rsidRPr="00EB1D71">
        <w:rPr>
          <w:rStyle w:val="TableHyperlink"/>
          <w:rFonts w:asciiTheme="minorHAnsi" w:hAnsiTheme="minorHAnsi" w:cstheme="minorHAnsi"/>
        </w:rPr>
        <w:fldChar w:fldCharType="begin"/>
      </w:r>
      <w:r w:rsidR="006329C4" w:rsidRPr="00EB1D71">
        <w:rPr>
          <w:rStyle w:val="TableHyperlink"/>
          <w:rFonts w:asciiTheme="minorHAnsi" w:hAnsiTheme="minorHAnsi" w:cstheme="minorHAnsi"/>
        </w:rPr>
        <w:instrText xml:space="preserve"> REF _Ref222999196 \h </w:instrText>
      </w:r>
      <w:r w:rsidR="00AB0486" w:rsidRPr="00EB1D71">
        <w:rPr>
          <w:rStyle w:val="TableHyperlink"/>
          <w:rFonts w:asciiTheme="minorHAnsi" w:hAnsiTheme="minorHAnsi" w:cstheme="minorHAnsi"/>
        </w:rPr>
        <w:instrText xml:space="preserve"> \* MERGEFORMAT </w:instrText>
      </w:r>
      <w:r w:rsidR="006329C4" w:rsidRPr="00EB1D71">
        <w:rPr>
          <w:rStyle w:val="TableHyperlink"/>
          <w:rFonts w:asciiTheme="minorHAnsi" w:hAnsiTheme="minorHAnsi" w:cstheme="minorHAnsi"/>
        </w:rPr>
      </w:r>
      <w:r w:rsidR="006329C4" w:rsidRPr="00EB1D71">
        <w:rPr>
          <w:rStyle w:val="TableHyperlink"/>
          <w:rFonts w:asciiTheme="minorHAnsi" w:hAnsiTheme="minorHAnsi" w:cstheme="minorHAnsi"/>
        </w:rPr>
        <w:fldChar w:fldCharType="separate"/>
      </w:r>
      <w:r w:rsidR="006329C4" w:rsidRPr="00EB1D71">
        <w:rPr>
          <w:rStyle w:val="TableHyperlink"/>
          <w:rFonts w:asciiTheme="minorHAnsi" w:hAnsiTheme="minorHAnsi" w:cstheme="minorHAnsi"/>
        </w:rPr>
        <w:t>Figure 3</w:t>
      </w:r>
      <w:r w:rsidR="006329C4" w:rsidRPr="00EB1D71">
        <w:rPr>
          <w:rStyle w:val="TableHyperlink"/>
          <w:rFonts w:asciiTheme="minorHAnsi" w:hAnsiTheme="minorHAnsi" w:cstheme="minorHAnsi"/>
        </w:rPr>
        <w:fldChar w:fldCharType="end"/>
      </w:r>
      <w:r w:rsidRPr="00EB1D71">
        <w:rPr>
          <w:rFonts w:asciiTheme="minorHAnsi" w:hAnsiTheme="minorHAnsi" w:cstheme="minorHAnsi"/>
        </w:rPr>
        <w:t>).</w:t>
      </w:r>
    </w:p>
    <w:p w14:paraId="28422D85" w14:textId="77777777" w:rsidR="00CA7092" w:rsidRDefault="00CA7092" w:rsidP="00486C79">
      <w:pPr>
        <w:rPr>
          <w:rFonts w:asciiTheme="minorHAnsi" w:hAnsiTheme="minorHAnsi" w:cstheme="minorHAnsi"/>
        </w:rPr>
      </w:pPr>
      <w:r w:rsidRPr="00EB1D71">
        <w:rPr>
          <w:rFonts w:asciiTheme="minorHAnsi" w:hAnsiTheme="minorHAnsi" w:cstheme="minorHAnsi"/>
        </w:rPr>
        <w:t xml:space="preserve">The bibliographies of the key references were reviewed, and studies expected to cover at least one of the specified EGS and shortlisted indicators were selected. These papers were then accessed, and the indicators, associated EGS, methods, key results and conclusions were assessed. The rubric used </w:t>
      </w:r>
      <w:r w:rsidRPr="00EB1D71">
        <w:rPr>
          <w:rFonts w:asciiTheme="minorHAnsi" w:hAnsiTheme="minorHAnsi" w:cstheme="minorHAnsi"/>
        </w:rPr>
        <w:lastRenderedPageBreak/>
        <w:t xml:space="preserve">to compile scores aimed to summarise the strength and availability of the evidence in favour of each given indicator’s capacity to indicate early change to the delivery of EGS is shown in </w:t>
      </w:r>
      <w:r w:rsidRPr="00EB1D71">
        <w:rPr>
          <w:rStyle w:val="TableHyperlink"/>
          <w:rFonts w:asciiTheme="minorHAnsi" w:hAnsiTheme="minorHAnsi" w:cstheme="minorHAnsi"/>
        </w:rPr>
        <w:fldChar w:fldCharType="begin"/>
      </w:r>
      <w:r w:rsidRPr="00EB1D71">
        <w:rPr>
          <w:rStyle w:val="TableHyperlink"/>
          <w:rFonts w:asciiTheme="minorHAnsi" w:hAnsiTheme="minorHAnsi" w:cstheme="minorHAnsi"/>
        </w:rPr>
        <w:instrText xml:space="preserve"> REF _Ref222993603 \h  \* MERGEFORMAT </w:instrText>
      </w:r>
      <w:r w:rsidRPr="00EB1D71">
        <w:rPr>
          <w:rStyle w:val="TableHyperlink"/>
          <w:rFonts w:asciiTheme="minorHAnsi" w:hAnsiTheme="minorHAnsi" w:cstheme="minorHAnsi"/>
        </w:rPr>
      </w:r>
      <w:r w:rsidRPr="00EB1D71">
        <w:rPr>
          <w:rStyle w:val="TableHyperlink"/>
          <w:rFonts w:asciiTheme="minorHAnsi" w:hAnsiTheme="minorHAnsi" w:cstheme="minorHAnsi"/>
        </w:rPr>
        <w:fldChar w:fldCharType="separate"/>
      </w:r>
      <w:r w:rsidRPr="00EB1D71">
        <w:rPr>
          <w:rStyle w:val="TableHyperlink"/>
          <w:rFonts w:asciiTheme="minorHAnsi" w:hAnsiTheme="minorHAnsi" w:cstheme="minorHAnsi"/>
        </w:rPr>
        <w:t>Table 2</w:t>
      </w:r>
      <w:r w:rsidRPr="00EB1D71">
        <w:rPr>
          <w:rStyle w:val="TableHyperlink"/>
          <w:rFonts w:asciiTheme="minorHAnsi" w:hAnsiTheme="minorHAnsi" w:cstheme="minorHAnsi"/>
        </w:rPr>
        <w:fldChar w:fldCharType="end"/>
      </w:r>
      <w:r w:rsidRPr="00EB1D71">
        <w:rPr>
          <w:rFonts w:asciiTheme="minorHAnsi" w:hAnsiTheme="minorHAnsi" w:cstheme="minorHAnsi"/>
        </w:rPr>
        <w:t xml:space="preserve">. </w:t>
      </w:r>
    </w:p>
    <w:p w14:paraId="01C6A02F" w14:textId="77777777" w:rsidR="008B7B6F" w:rsidRPr="00EB1D71" w:rsidRDefault="008B7B6F" w:rsidP="00486C79">
      <w:pPr>
        <w:rPr>
          <w:rFonts w:asciiTheme="minorHAnsi" w:hAnsiTheme="minorHAnsi" w:cstheme="minorHAnsi"/>
        </w:rPr>
      </w:pPr>
      <w:r w:rsidRPr="00EB1D71">
        <w:rPr>
          <w:rFonts w:asciiTheme="minorHAnsi" w:hAnsiTheme="minorHAnsi" w:cstheme="minorHAnsi"/>
        </w:rPr>
        <w:t>Each indicator was assessed and scored separately for its capacity to detect changes in the delivery of each of the six EGS. This resulted in six sets of results to be incorporated into the logical sieve: one for each EGS. Indicator scores from each reference were averaged to give an overall indication of the findings from the academic literature in relation to each specified indicator and EGS. No weightings were used to determine the average at this point in the analysis, with each EGS weighted equally. The resulting average scores for each indicator and EGS were then incorporated into the main logical sieve.</w:t>
      </w:r>
    </w:p>
    <w:p w14:paraId="119DE3D1" w14:textId="18E16236" w:rsidR="0080298D" w:rsidRPr="00EB1D71" w:rsidRDefault="0080298D" w:rsidP="0080298D">
      <w:pPr>
        <w:pStyle w:val="Caption"/>
        <w:rPr>
          <w:rFonts w:asciiTheme="minorHAnsi" w:hAnsiTheme="minorHAnsi" w:cstheme="minorHAnsi"/>
        </w:rPr>
      </w:pPr>
      <w:bookmarkStart w:id="18" w:name="_Ref222999196"/>
      <w:bookmarkStart w:id="19" w:name="_Toc228622127"/>
      <w:r w:rsidRPr="00EB1D71">
        <w:rPr>
          <w:rFonts w:asciiTheme="minorHAnsi" w:hAnsiTheme="minorHAnsi" w:cstheme="minorHAnsi"/>
        </w:rPr>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3</w:t>
      </w:r>
      <w:r w:rsidR="007D3945">
        <w:rPr>
          <w:rFonts w:asciiTheme="minorHAnsi" w:hAnsiTheme="minorHAnsi" w:cstheme="minorHAnsi"/>
        </w:rPr>
        <w:fldChar w:fldCharType="end"/>
      </w:r>
      <w:bookmarkEnd w:id="18"/>
      <w:r w:rsidRPr="00EB1D71">
        <w:rPr>
          <w:rFonts w:asciiTheme="minorHAnsi" w:hAnsiTheme="minorHAnsi" w:cstheme="minorHAnsi"/>
        </w:rPr>
        <w:t>. A visual summary of the six ecosystem goods and services (EGS) which were included in the evidence review process.</w:t>
      </w:r>
      <w:bookmarkEnd w:id="19"/>
    </w:p>
    <w:p w14:paraId="2CE8EC4E" w14:textId="529A3B25" w:rsidR="0080298D" w:rsidRPr="00EB1D71" w:rsidRDefault="0080298D" w:rsidP="0080298D">
      <w:pPr>
        <w:rPr>
          <w:rFonts w:asciiTheme="minorHAnsi" w:hAnsiTheme="minorHAnsi" w:cstheme="minorHAnsi"/>
        </w:rPr>
      </w:pPr>
      <w:r w:rsidRPr="00EB1D71">
        <w:rPr>
          <w:rFonts w:asciiTheme="minorHAnsi" w:hAnsiTheme="minorHAnsi" w:cstheme="minorHAnsi"/>
          <w:noProof/>
        </w:rPr>
        <w:drawing>
          <wp:inline distT="0" distB="0" distL="0" distR="0" wp14:anchorId="01DBE4FE" wp14:editId="77DA6AC4">
            <wp:extent cx="5759450" cy="3295639"/>
            <wp:effectExtent l="19050" t="19050" r="12700" b="19685"/>
            <wp:docPr id="781264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6436" name="Picture 1">
                      <a:extLst>
                        <a:ext uri="{C183D7F6-B498-43B3-948B-1728B52AA6E4}">
                          <adec:decorative xmlns:adec="http://schemas.microsoft.com/office/drawing/2017/decorative" val="1"/>
                        </a:ext>
                      </a:extLst>
                    </pic:cNvPr>
                    <pic:cNvPicPr/>
                  </pic:nvPicPr>
                  <pic:blipFill>
                    <a:blip r:embed="rId20"/>
                    <a:stretch>
                      <a:fillRect/>
                    </a:stretch>
                  </pic:blipFill>
                  <pic:spPr>
                    <a:xfrm>
                      <a:off x="0" y="0"/>
                      <a:ext cx="5759450" cy="3295639"/>
                    </a:xfrm>
                    <a:prstGeom prst="rect">
                      <a:avLst/>
                    </a:prstGeom>
                    <a:ln>
                      <a:solidFill>
                        <a:schemeClr val="bg1">
                          <a:lumMod val="85000"/>
                        </a:schemeClr>
                      </a:solidFill>
                    </a:ln>
                  </pic:spPr>
                </pic:pic>
              </a:graphicData>
            </a:graphic>
          </wp:inline>
        </w:drawing>
      </w:r>
    </w:p>
    <w:p w14:paraId="2EDEA8FC" w14:textId="1E8405A1" w:rsidR="0080298D" w:rsidRPr="00EB1D71" w:rsidRDefault="0080298D" w:rsidP="002B652E">
      <w:pPr>
        <w:pStyle w:val="Caption"/>
        <w:keepNext/>
        <w:spacing w:after="0"/>
        <w:rPr>
          <w:rFonts w:asciiTheme="minorHAnsi" w:hAnsiTheme="minorHAnsi" w:cstheme="minorHAnsi"/>
        </w:rPr>
      </w:pPr>
      <w:bookmarkStart w:id="20" w:name="_Ref222993603"/>
      <w:bookmarkStart w:id="21" w:name="_Toc228622108"/>
      <w:r w:rsidRPr="00EB1D71">
        <w:rPr>
          <w:rFonts w:asciiTheme="minorHAnsi" w:hAnsiTheme="minorHAnsi" w:cstheme="minorHAnsi"/>
        </w:rPr>
        <w:t xml:space="preserve">Table </w:t>
      </w:r>
      <w:r w:rsidR="009A568B" w:rsidRPr="00EB1D71">
        <w:rPr>
          <w:rFonts w:asciiTheme="minorHAnsi" w:hAnsiTheme="minorHAnsi" w:cstheme="minorHAnsi"/>
        </w:rPr>
        <w:fldChar w:fldCharType="begin"/>
      </w:r>
      <w:r w:rsidR="009A568B" w:rsidRPr="00EB1D71">
        <w:rPr>
          <w:rFonts w:asciiTheme="minorHAnsi" w:hAnsiTheme="minorHAnsi" w:cstheme="minorHAnsi"/>
        </w:rPr>
        <w:instrText xml:space="preserve"> SEQ Table \* ARABIC </w:instrText>
      </w:r>
      <w:r w:rsidR="009A568B" w:rsidRPr="00EB1D71">
        <w:rPr>
          <w:rFonts w:asciiTheme="minorHAnsi" w:hAnsiTheme="minorHAnsi" w:cstheme="minorHAnsi"/>
        </w:rPr>
        <w:fldChar w:fldCharType="separate"/>
      </w:r>
      <w:r w:rsidR="00C400DA">
        <w:rPr>
          <w:rFonts w:asciiTheme="minorHAnsi" w:hAnsiTheme="minorHAnsi" w:cstheme="minorHAnsi"/>
          <w:noProof/>
        </w:rPr>
        <w:t>2</w:t>
      </w:r>
      <w:r w:rsidR="009A568B" w:rsidRPr="00EB1D71">
        <w:rPr>
          <w:rFonts w:asciiTheme="minorHAnsi" w:hAnsiTheme="minorHAnsi" w:cstheme="minorHAnsi"/>
          <w:noProof/>
        </w:rPr>
        <w:fldChar w:fldCharType="end"/>
      </w:r>
      <w:bookmarkEnd w:id="20"/>
      <w:r w:rsidRPr="00EB1D71">
        <w:rPr>
          <w:rFonts w:asciiTheme="minorHAnsi" w:hAnsiTheme="minorHAnsi" w:cstheme="minorHAnsi"/>
        </w:rPr>
        <w:t>. Rubric used to score shortlisted indicators for their capacity to detect early changes in the delivery of ecosystem goods and services (EGS).</w:t>
      </w:r>
      <w:bookmarkEnd w:id="21"/>
    </w:p>
    <w:tbl>
      <w:tblPr>
        <w:tblStyle w:val="Style4"/>
        <w:tblW w:w="0" w:type="auto"/>
        <w:tblLook w:val="04A0" w:firstRow="1" w:lastRow="0" w:firstColumn="1" w:lastColumn="0" w:noHBand="0" w:noVBand="1"/>
      </w:tblPr>
      <w:tblGrid>
        <w:gridCol w:w="1229"/>
        <w:gridCol w:w="2728"/>
        <w:gridCol w:w="5103"/>
      </w:tblGrid>
      <w:tr w:rsidR="0080298D" w:rsidRPr="00EB1D71" w14:paraId="48B7715B" w14:textId="77777777" w:rsidTr="002A1C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E9F4FC"/>
          </w:tcPr>
          <w:p w14:paraId="2F05A084" w14:textId="77777777" w:rsidR="0080298D" w:rsidRPr="00A01122" w:rsidRDefault="0080298D" w:rsidP="009E3F09">
            <w:pPr>
              <w:pStyle w:val="TableHeading-centred-bold"/>
              <w:rPr>
                <w:b/>
              </w:rPr>
            </w:pPr>
            <w:r w:rsidRPr="00A01122">
              <w:rPr>
                <w:b/>
              </w:rPr>
              <w:t>Score</w:t>
            </w:r>
          </w:p>
        </w:tc>
        <w:tc>
          <w:tcPr>
            <w:tcW w:w="2835" w:type="dxa"/>
            <w:shd w:val="clear" w:color="auto" w:fill="E9F4FC"/>
          </w:tcPr>
          <w:p w14:paraId="05EBC10C" w14:textId="77777777" w:rsidR="0080298D" w:rsidRPr="00A01122" w:rsidRDefault="0080298D" w:rsidP="009E3F09">
            <w:pPr>
              <w:pStyle w:val="TableHeading-centred-bold"/>
              <w:cnfStyle w:val="100000000000" w:firstRow="1" w:lastRow="0" w:firstColumn="0" w:lastColumn="0" w:oddVBand="0" w:evenVBand="0" w:oddHBand="0" w:evenHBand="0" w:firstRowFirstColumn="0" w:firstRowLastColumn="0" w:lastRowFirstColumn="0" w:lastRowLastColumn="0"/>
              <w:rPr>
                <w:b/>
              </w:rPr>
            </w:pPr>
            <w:r w:rsidRPr="00A01122">
              <w:rPr>
                <w:b/>
              </w:rPr>
              <w:t>Summary</w:t>
            </w:r>
          </w:p>
        </w:tc>
        <w:tc>
          <w:tcPr>
            <w:tcW w:w="5387" w:type="dxa"/>
            <w:shd w:val="clear" w:color="auto" w:fill="E9F4FC"/>
          </w:tcPr>
          <w:p w14:paraId="40599BB6" w14:textId="77777777" w:rsidR="0080298D" w:rsidRPr="00A01122" w:rsidRDefault="0080298D" w:rsidP="009E3F09">
            <w:pPr>
              <w:pStyle w:val="TableHeading-centred-bold"/>
              <w:cnfStyle w:val="100000000000" w:firstRow="1" w:lastRow="0" w:firstColumn="0" w:lastColumn="0" w:oddVBand="0" w:evenVBand="0" w:oddHBand="0" w:evenHBand="0" w:firstRowFirstColumn="0" w:firstRowLastColumn="0" w:lastRowFirstColumn="0" w:lastRowLastColumn="0"/>
              <w:rPr>
                <w:b/>
              </w:rPr>
            </w:pPr>
            <w:r w:rsidRPr="00A01122">
              <w:rPr>
                <w:b/>
              </w:rPr>
              <w:t>Description</w:t>
            </w:r>
          </w:p>
        </w:tc>
      </w:tr>
      <w:tr w:rsidR="0080298D" w:rsidRPr="00EB1D71" w14:paraId="70F56386" w14:textId="77777777" w:rsidTr="00133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0847A8A" w14:textId="77777777" w:rsidR="0080298D" w:rsidRPr="00A01122" w:rsidRDefault="0080298D" w:rsidP="002A1C7C">
            <w:pPr>
              <w:pStyle w:val="Table-Body-leftaligned"/>
              <w:rPr>
                <w:b w:val="0"/>
              </w:rPr>
            </w:pPr>
            <w:r w:rsidRPr="00A01122">
              <w:rPr>
                <w:b w:val="0"/>
              </w:rPr>
              <w:t>3</w:t>
            </w:r>
          </w:p>
        </w:tc>
        <w:tc>
          <w:tcPr>
            <w:tcW w:w="2835" w:type="dxa"/>
            <w:shd w:val="clear" w:color="auto" w:fill="auto"/>
          </w:tcPr>
          <w:p w14:paraId="355DC8BD" w14:textId="77777777" w:rsidR="0080298D" w:rsidRPr="00A01122" w:rsidRDefault="0080298D" w:rsidP="002A1C7C">
            <w:pPr>
              <w:pStyle w:val="Table-Body-leftaligned"/>
              <w:cnfStyle w:val="100000000000" w:firstRow="1" w:lastRow="0" w:firstColumn="0" w:lastColumn="0" w:oddVBand="0" w:evenVBand="0" w:oddHBand="0" w:evenHBand="0" w:firstRowFirstColumn="0" w:firstRowLastColumn="0" w:lastRowFirstColumn="0" w:lastRowLastColumn="0"/>
              <w:rPr>
                <w:b w:val="0"/>
              </w:rPr>
            </w:pPr>
            <w:r w:rsidRPr="00A01122">
              <w:rPr>
                <w:b w:val="0"/>
              </w:rPr>
              <w:t>Strong evidence in favour</w:t>
            </w:r>
          </w:p>
        </w:tc>
        <w:tc>
          <w:tcPr>
            <w:tcW w:w="5387" w:type="dxa"/>
            <w:shd w:val="clear" w:color="auto" w:fill="auto"/>
          </w:tcPr>
          <w:p w14:paraId="69EAD4DF" w14:textId="77777777" w:rsidR="0080298D" w:rsidRPr="00A01122" w:rsidRDefault="0080298D" w:rsidP="002A1C7C">
            <w:pPr>
              <w:pStyle w:val="Table-Body-leftaligned"/>
              <w:cnfStyle w:val="100000000000" w:firstRow="1" w:lastRow="0" w:firstColumn="0" w:lastColumn="0" w:oddVBand="0" w:evenVBand="0" w:oddHBand="0" w:evenHBand="0" w:firstRowFirstColumn="0" w:firstRowLastColumn="0" w:lastRowFirstColumn="0" w:lastRowLastColumn="0"/>
              <w:rPr>
                <w:b w:val="0"/>
              </w:rPr>
            </w:pPr>
            <w:r w:rsidRPr="00A01122">
              <w:rPr>
                <w:b w:val="0"/>
              </w:rPr>
              <w:t>Review finds strong evidence in favour of indicator relevance to overall soil health derived from robust statistical analysis of replicated field experiments or through expert consultation</w:t>
            </w:r>
          </w:p>
        </w:tc>
      </w:tr>
      <w:tr w:rsidR="0080298D" w:rsidRPr="00EB1D71" w14:paraId="155CD1D2" w14:textId="77777777" w:rsidTr="00133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10F7F6D5" w14:textId="77777777" w:rsidR="0080298D" w:rsidRPr="00A01122" w:rsidRDefault="0080298D" w:rsidP="002A1C7C">
            <w:pPr>
              <w:pStyle w:val="Table-Body-leftaligned"/>
              <w:rPr>
                <w:b w:val="0"/>
              </w:rPr>
            </w:pPr>
            <w:r w:rsidRPr="00A01122">
              <w:rPr>
                <w:b w:val="0"/>
              </w:rPr>
              <w:t>2</w:t>
            </w:r>
          </w:p>
        </w:tc>
        <w:tc>
          <w:tcPr>
            <w:tcW w:w="2835" w:type="dxa"/>
            <w:shd w:val="clear" w:color="auto" w:fill="auto"/>
          </w:tcPr>
          <w:p w14:paraId="13C4F344" w14:textId="77777777" w:rsidR="0080298D" w:rsidRPr="00A01122" w:rsidRDefault="0080298D" w:rsidP="002A1C7C">
            <w:pPr>
              <w:pStyle w:val="Table-Body-leftaligned"/>
              <w:cnfStyle w:val="100000000000" w:firstRow="1" w:lastRow="0" w:firstColumn="0" w:lastColumn="0" w:oddVBand="0" w:evenVBand="0" w:oddHBand="0" w:evenHBand="0" w:firstRowFirstColumn="0" w:firstRowLastColumn="0" w:lastRowFirstColumn="0" w:lastRowLastColumn="0"/>
              <w:rPr>
                <w:b w:val="0"/>
              </w:rPr>
            </w:pPr>
            <w:r w:rsidRPr="00A01122">
              <w:rPr>
                <w:b w:val="0"/>
              </w:rPr>
              <w:t>Evidence in favour</w:t>
            </w:r>
          </w:p>
        </w:tc>
        <w:tc>
          <w:tcPr>
            <w:tcW w:w="5387" w:type="dxa"/>
            <w:shd w:val="clear" w:color="auto" w:fill="auto"/>
          </w:tcPr>
          <w:p w14:paraId="05B53FCA" w14:textId="77777777" w:rsidR="0080298D" w:rsidRPr="00A01122" w:rsidRDefault="0080298D" w:rsidP="002A1C7C">
            <w:pPr>
              <w:pStyle w:val="Table-Body-leftaligned"/>
              <w:cnfStyle w:val="100000000000" w:firstRow="1" w:lastRow="0" w:firstColumn="0" w:lastColumn="0" w:oddVBand="0" w:evenVBand="0" w:oddHBand="0" w:evenHBand="0" w:firstRowFirstColumn="0" w:firstRowLastColumn="0" w:lastRowFirstColumn="0" w:lastRowLastColumn="0"/>
              <w:rPr>
                <w:b w:val="0"/>
              </w:rPr>
            </w:pPr>
            <w:r w:rsidRPr="00A01122">
              <w:rPr>
                <w:b w:val="0"/>
              </w:rPr>
              <w:t>Review finds some evidence in favour of indicator relevance to overall soil health derived from robust statistical analysis of replicated field experiments or through expert consultation</w:t>
            </w:r>
          </w:p>
        </w:tc>
      </w:tr>
      <w:tr w:rsidR="0080298D" w:rsidRPr="00EB1D71" w14:paraId="7EE895DC" w14:textId="77777777" w:rsidTr="00133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24EA29ED" w14:textId="77777777" w:rsidR="0080298D" w:rsidRPr="00A01122" w:rsidRDefault="0080298D" w:rsidP="002A1C7C">
            <w:pPr>
              <w:pStyle w:val="Table-Body-leftaligned"/>
              <w:rPr>
                <w:b w:val="0"/>
              </w:rPr>
            </w:pPr>
            <w:r w:rsidRPr="00A01122">
              <w:rPr>
                <w:b w:val="0"/>
              </w:rPr>
              <w:t>1</w:t>
            </w:r>
          </w:p>
        </w:tc>
        <w:tc>
          <w:tcPr>
            <w:tcW w:w="2835" w:type="dxa"/>
            <w:shd w:val="clear" w:color="auto" w:fill="auto"/>
          </w:tcPr>
          <w:p w14:paraId="46572B42" w14:textId="77777777" w:rsidR="0080298D" w:rsidRPr="00A01122" w:rsidRDefault="0080298D" w:rsidP="002A1C7C">
            <w:pPr>
              <w:pStyle w:val="Table-Body-leftaligned"/>
              <w:cnfStyle w:val="100000000000" w:firstRow="1" w:lastRow="0" w:firstColumn="0" w:lastColumn="0" w:oddVBand="0" w:evenVBand="0" w:oddHBand="0" w:evenHBand="0" w:firstRowFirstColumn="0" w:firstRowLastColumn="0" w:lastRowFirstColumn="0" w:lastRowLastColumn="0"/>
              <w:rPr>
                <w:b w:val="0"/>
              </w:rPr>
            </w:pPr>
            <w:r w:rsidRPr="00A01122">
              <w:rPr>
                <w:b w:val="0"/>
              </w:rPr>
              <w:t>Inconclusive evidence</w:t>
            </w:r>
          </w:p>
        </w:tc>
        <w:tc>
          <w:tcPr>
            <w:tcW w:w="5387" w:type="dxa"/>
            <w:shd w:val="clear" w:color="auto" w:fill="auto"/>
          </w:tcPr>
          <w:p w14:paraId="19236BBB" w14:textId="4C0A31E4" w:rsidR="0080298D" w:rsidRPr="00A01122" w:rsidRDefault="0080298D" w:rsidP="002A1C7C">
            <w:pPr>
              <w:pStyle w:val="Table-Body-leftaligned"/>
              <w:cnfStyle w:val="100000000000" w:firstRow="1" w:lastRow="0" w:firstColumn="0" w:lastColumn="0" w:oddVBand="0" w:evenVBand="0" w:oddHBand="0" w:evenHBand="0" w:firstRowFirstColumn="0" w:firstRowLastColumn="0" w:lastRowFirstColumn="0" w:lastRowLastColumn="0"/>
              <w:rPr>
                <w:b w:val="0"/>
              </w:rPr>
            </w:pPr>
            <w:r w:rsidRPr="00A01122">
              <w:rPr>
                <w:b w:val="0"/>
              </w:rPr>
              <w:t>Review reports mixed or inconclusive findings on indicator relevance to overall soil health</w:t>
            </w:r>
          </w:p>
        </w:tc>
      </w:tr>
      <w:tr w:rsidR="0080298D" w:rsidRPr="00EB1D71" w14:paraId="09CE60E1" w14:textId="77777777" w:rsidTr="00133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3BCA0A37" w14:textId="77777777" w:rsidR="0080298D" w:rsidRPr="00A01122" w:rsidRDefault="0080298D" w:rsidP="002A1C7C">
            <w:pPr>
              <w:pStyle w:val="Table-Body-leftaligned"/>
              <w:rPr>
                <w:b w:val="0"/>
              </w:rPr>
            </w:pPr>
            <w:r w:rsidRPr="00A01122">
              <w:rPr>
                <w:b w:val="0"/>
              </w:rPr>
              <w:t>0</w:t>
            </w:r>
          </w:p>
        </w:tc>
        <w:tc>
          <w:tcPr>
            <w:tcW w:w="2835" w:type="dxa"/>
            <w:shd w:val="clear" w:color="auto" w:fill="auto"/>
          </w:tcPr>
          <w:p w14:paraId="50F6AC08" w14:textId="77777777" w:rsidR="0080298D" w:rsidRPr="00A01122" w:rsidRDefault="0080298D" w:rsidP="002A1C7C">
            <w:pPr>
              <w:pStyle w:val="Table-Body-leftaligned"/>
              <w:cnfStyle w:val="100000000000" w:firstRow="1" w:lastRow="0" w:firstColumn="0" w:lastColumn="0" w:oddVBand="0" w:evenVBand="0" w:oddHBand="0" w:evenHBand="0" w:firstRowFirstColumn="0" w:firstRowLastColumn="0" w:lastRowFirstColumn="0" w:lastRowLastColumn="0"/>
              <w:rPr>
                <w:b w:val="0"/>
              </w:rPr>
            </w:pPr>
            <w:r w:rsidRPr="00A01122">
              <w:rPr>
                <w:b w:val="0"/>
              </w:rPr>
              <w:t>None/opposing evidence</w:t>
            </w:r>
          </w:p>
        </w:tc>
        <w:tc>
          <w:tcPr>
            <w:tcW w:w="5387" w:type="dxa"/>
            <w:shd w:val="clear" w:color="auto" w:fill="auto"/>
          </w:tcPr>
          <w:p w14:paraId="223296C2" w14:textId="3E28E573" w:rsidR="0080298D" w:rsidRPr="00A01122" w:rsidRDefault="0080298D" w:rsidP="002A1C7C">
            <w:pPr>
              <w:pStyle w:val="Table-Body-leftaligned"/>
              <w:cnfStyle w:val="100000000000" w:firstRow="1" w:lastRow="0" w:firstColumn="0" w:lastColumn="0" w:oddVBand="0" w:evenVBand="0" w:oddHBand="0" w:evenHBand="0" w:firstRowFirstColumn="0" w:firstRowLastColumn="0" w:lastRowFirstColumn="0" w:lastRowLastColumn="0"/>
              <w:rPr>
                <w:b w:val="0"/>
              </w:rPr>
            </w:pPr>
            <w:r w:rsidRPr="00A01122">
              <w:rPr>
                <w:b w:val="0"/>
              </w:rPr>
              <w:t>Review finds no evidence or evidence to the contrary of indicator relevance to overall soil health</w:t>
            </w:r>
          </w:p>
        </w:tc>
      </w:tr>
      <w:tr w:rsidR="0080298D" w:rsidRPr="00EB1D71" w14:paraId="7615B155" w14:textId="77777777" w:rsidTr="00133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D674764" w14:textId="77777777" w:rsidR="0080298D" w:rsidRPr="00A01122" w:rsidRDefault="0080298D" w:rsidP="002A1C7C">
            <w:pPr>
              <w:pStyle w:val="Table-Body-leftaligned"/>
              <w:rPr>
                <w:b w:val="0"/>
              </w:rPr>
            </w:pPr>
            <w:r w:rsidRPr="00A01122">
              <w:rPr>
                <w:b w:val="0"/>
              </w:rPr>
              <w:t>NA</w:t>
            </w:r>
          </w:p>
        </w:tc>
        <w:tc>
          <w:tcPr>
            <w:tcW w:w="2835" w:type="dxa"/>
            <w:shd w:val="clear" w:color="auto" w:fill="auto"/>
          </w:tcPr>
          <w:p w14:paraId="0E2AB540" w14:textId="77777777" w:rsidR="0080298D" w:rsidRPr="00A01122" w:rsidRDefault="0080298D" w:rsidP="002A1C7C">
            <w:pPr>
              <w:pStyle w:val="Table-Body-leftaligned"/>
              <w:cnfStyle w:val="100000000000" w:firstRow="1" w:lastRow="0" w:firstColumn="0" w:lastColumn="0" w:oddVBand="0" w:evenVBand="0" w:oddHBand="0" w:evenHBand="0" w:firstRowFirstColumn="0" w:firstRowLastColumn="0" w:lastRowFirstColumn="0" w:lastRowLastColumn="0"/>
              <w:rPr>
                <w:b w:val="0"/>
              </w:rPr>
            </w:pPr>
            <w:r w:rsidRPr="00A01122">
              <w:rPr>
                <w:b w:val="0"/>
              </w:rPr>
              <w:t>Not considered</w:t>
            </w:r>
          </w:p>
        </w:tc>
        <w:tc>
          <w:tcPr>
            <w:tcW w:w="5387" w:type="dxa"/>
            <w:shd w:val="clear" w:color="auto" w:fill="auto"/>
          </w:tcPr>
          <w:p w14:paraId="17781DA3" w14:textId="77777777" w:rsidR="0080298D" w:rsidRPr="00A01122" w:rsidRDefault="0080298D" w:rsidP="002A1C7C">
            <w:pPr>
              <w:pStyle w:val="Table-Body-leftaligned"/>
              <w:cnfStyle w:val="100000000000" w:firstRow="1" w:lastRow="0" w:firstColumn="0" w:lastColumn="0" w:oddVBand="0" w:evenVBand="0" w:oddHBand="0" w:evenHBand="0" w:firstRowFirstColumn="0" w:firstRowLastColumn="0" w:lastRowFirstColumn="0" w:lastRowLastColumn="0"/>
              <w:rPr>
                <w:b w:val="0"/>
              </w:rPr>
            </w:pPr>
            <w:r w:rsidRPr="00A01122">
              <w:rPr>
                <w:b w:val="0"/>
              </w:rPr>
              <w:t>Review did not consider this indicator/category</w:t>
            </w:r>
          </w:p>
        </w:tc>
      </w:tr>
    </w:tbl>
    <w:p w14:paraId="45C388E7" w14:textId="77777777" w:rsidR="00FE2E5D" w:rsidRPr="00EB1D71" w:rsidRDefault="00FE2E5D">
      <w:pPr>
        <w:spacing w:line="278" w:lineRule="auto"/>
        <w:rPr>
          <w:rFonts w:asciiTheme="minorHAnsi" w:hAnsiTheme="minorHAnsi" w:cstheme="minorHAnsi"/>
        </w:rPr>
      </w:pPr>
    </w:p>
    <w:p w14:paraId="2F5745CE" w14:textId="5CC50E29" w:rsidR="00133BF8" w:rsidRPr="002A1C7C" w:rsidRDefault="00133BF8" w:rsidP="00133BF8">
      <w:pPr>
        <w:pStyle w:val="Heading4"/>
        <w:rPr>
          <w:rFonts w:asciiTheme="minorHAnsi" w:hAnsiTheme="minorHAnsi" w:cstheme="minorHAnsi"/>
          <w:color w:val="006197" w:themeColor="text1" w:themeShade="BF"/>
        </w:rPr>
      </w:pPr>
      <w:bookmarkStart w:id="22" w:name="_Toc228622076"/>
      <w:r w:rsidRPr="002A1C7C">
        <w:rPr>
          <w:rFonts w:asciiTheme="minorHAnsi" w:hAnsiTheme="minorHAnsi" w:cstheme="minorHAnsi"/>
          <w:color w:val="006197" w:themeColor="text1" w:themeShade="BF"/>
        </w:rPr>
        <w:t>Methods - Data availability</w:t>
      </w:r>
      <w:bookmarkEnd w:id="22"/>
    </w:p>
    <w:p w14:paraId="421DA9C1" w14:textId="77777777" w:rsidR="00133BF8" w:rsidRPr="00EB1D71" w:rsidRDefault="00133BF8" w:rsidP="00D5287D">
      <w:pPr>
        <w:tabs>
          <w:tab w:val="num" w:pos="720"/>
        </w:tabs>
        <w:rPr>
          <w:rFonts w:asciiTheme="minorHAnsi" w:hAnsiTheme="minorHAnsi" w:cstheme="minorHAnsi"/>
        </w:rPr>
      </w:pPr>
      <w:r w:rsidRPr="00EB1D71">
        <w:rPr>
          <w:rFonts w:asciiTheme="minorHAnsi" w:hAnsiTheme="minorHAnsi" w:cstheme="minorHAnsi"/>
        </w:rPr>
        <w:t xml:space="preserve">A key criterion for evaluation of the indicators was the availability of data that was robust, independent and relevant to UK agriculture. A range of data sources were identified using online search engines, known open-access repositories, discussions with industry representatives (including laboratories who were part of the IRG), and contacts with key informants.  For open-access datasets, the </w:t>
      </w:r>
      <w:proofErr w:type="gramStart"/>
      <w:r w:rsidRPr="00EB1D71">
        <w:rPr>
          <w:rFonts w:asciiTheme="minorHAnsi" w:hAnsiTheme="minorHAnsi" w:cstheme="minorHAnsi"/>
        </w:rPr>
        <w:t>time period</w:t>
      </w:r>
      <w:proofErr w:type="gramEnd"/>
      <w:r w:rsidRPr="00EB1D71">
        <w:rPr>
          <w:rFonts w:asciiTheme="minorHAnsi" w:hAnsiTheme="minorHAnsi" w:cstheme="minorHAnsi"/>
        </w:rPr>
        <w:t xml:space="preserve"> from 2016 forwards, which corresponds with the introduction of FAIR data principles and strengthened data-sharing requirements, was the focus. </w:t>
      </w:r>
    </w:p>
    <w:p w14:paraId="07063A9E" w14:textId="77777777" w:rsidR="00133BF8" w:rsidRPr="00EB1D71" w:rsidRDefault="00133BF8" w:rsidP="00D5287D">
      <w:pPr>
        <w:pStyle w:val="ListParagraph"/>
        <w:numPr>
          <w:ilvl w:val="0"/>
          <w:numId w:val="15"/>
        </w:numPr>
        <w:tabs>
          <w:tab w:val="num" w:pos="0"/>
        </w:tabs>
        <w:spacing w:after="0"/>
        <w:ind w:left="357" w:hanging="357"/>
        <w:rPr>
          <w:rFonts w:asciiTheme="minorHAnsi" w:hAnsiTheme="minorHAnsi" w:cstheme="minorHAnsi"/>
        </w:rPr>
      </w:pPr>
      <w:r w:rsidRPr="00EB1D71">
        <w:rPr>
          <w:rFonts w:asciiTheme="minorHAnsi" w:hAnsiTheme="minorHAnsi" w:cstheme="minorHAnsi"/>
        </w:rPr>
        <w:t>The bibliographies of the key references were reviewed, and studies selected which were expected to cover the shortlisted indicators. Data availability statements of each paper were checked, with DOIs followed to repositories, and the licence and metadata quality was directly assessed. Information on the indicators including size of the datasets, type of study, and geographic location of the study was recorded.</w:t>
      </w:r>
    </w:p>
    <w:p w14:paraId="15036949" w14:textId="47409DE0" w:rsidR="00133BF8" w:rsidRPr="00EB1D71" w:rsidRDefault="00133BF8" w:rsidP="00D5287D">
      <w:pPr>
        <w:pStyle w:val="ListParagraph"/>
        <w:numPr>
          <w:ilvl w:val="0"/>
          <w:numId w:val="15"/>
        </w:numPr>
        <w:spacing w:after="0"/>
        <w:ind w:left="357" w:hanging="357"/>
        <w:rPr>
          <w:rFonts w:asciiTheme="minorHAnsi" w:hAnsiTheme="minorHAnsi" w:cstheme="minorHAnsi"/>
        </w:rPr>
      </w:pPr>
      <w:r w:rsidRPr="00EB1D71">
        <w:rPr>
          <w:rFonts w:asciiTheme="minorHAnsi" w:hAnsiTheme="minorHAnsi" w:cstheme="minorHAnsi"/>
        </w:rPr>
        <w:t xml:space="preserve">The </w:t>
      </w:r>
      <w:hyperlink r:id="rId21" w:history="1">
        <w:r w:rsidRPr="00EB1D71">
          <w:rPr>
            <w:rStyle w:val="Normal-hyperlink-boldChar"/>
            <w:rFonts w:asciiTheme="minorHAnsi" w:hAnsiTheme="minorHAnsi" w:cstheme="minorHAnsi"/>
          </w:rPr>
          <w:t>re3data.org</w:t>
        </w:r>
      </w:hyperlink>
      <w:r w:rsidRPr="00EB1D71">
        <w:rPr>
          <w:rFonts w:asciiTheme="minorHAnsi" w:hAnsiTheme="minorHAnsi" w:cstheme="minorHAnsi"/>
        </w:rPr>
        <w:t xml:space="preserve"> website was used to search for online repositories of data using the search term “soil”. This returned 77 results. These were screened manually for repositories relevant to soil health; many of these sites were not relevant as they contained information relating to soil classification. Relevant sources of soil health data included: </w:t>
      </w:r>
      <w:hyperlink r:id="rId22" w:history="1">
        <w:r w:rsidRPr="00EB1D71">
          <w:rPr>
            <w:rStyle w:val="Normal-hyperlink-boldChar"/>
            <w:rFonts w:asciiTheme="minorHAnsi" w:hAnsiTheme="minorHAnsi" w:cstheme="minorHAnsi"/>
          </w:rPr>
          <w:t>European Soil Data Centre (ESDAC)</w:t>
        </w:r>
      </w:hyperlink>
      <w:r w:rsidRPr="00EB1D71">
        <w:rPr>
          <w:rStyle w:val="Normal-hyperlink-boldChar"/>
          <w:rFonts w:asciiTheme="minorHAnsi" w:hAnsiTheme="minorHAnsi" w:cstheme="minorHAnsi"/>
        </w:rPr>
        <w:t xml:space="preserve">, </w:t>
      </w:r>
      <w:hyperlink r:id="rId23" w:history="1">
        <w:proofErr w:type="spellStart"/>
        <w:r w:rsidRPr="00EB1D71">
          <w:rPr>
            <w:rStyle w:val="Normal-hyperlink-boldChar"/>
            <w:rFonts w:asciiTheme="minorHAnsi" w:hAnsiTheme="minorHAnsi" w:cstheme="minorHAnsi"/>
          </w:rPr>
          <w:t>Zenodo</w:t>
        </w:r>
        <w:proofErr w:type="spellEnd"/>
      </w:hyperlink>
      <w:r w:rsidRPr="00EB1D71">
        <w:rPr>
          <w:rFonts w:asciiTheme="minorHAnsi" w:hAnsiTheme="minorHAnsi" w:cstheme="minorHAnsi"/>
        </w:rPr>
        <w:t xml:space="preserve">, </w:t>
      </w:r>
      <w:hyperlink r:id="rId24" w:history="1">
        <w:proofErr w:type="spellStart"/>
        <w:r w:rsidRPr="00EB1D71">
          <w:rPr>
            <w:rStyle w:val="Normal-hyperlink-boldChar"/>
            <w:rFonts w:asciiTheme="minorHAnsi" w:hAnsiTheme="minorHAnsi" w:cstheme="minorHAnsi"/>
          </w:rPr>
          <w:t>BonaRes</w:t>
        </w:r>
        <w:proofErr w:type="spellEnd"/>
      </w:hyperlink>
      <w:r w:rsidRPr="00EB1D71">
        <w:rPr>
          <w:rFonts w:asciiTheme="minorHAnsi" w:hAnsiTheme="minorHAnsi" w:cstheme="minorHAnsi"/>
        </w:rPr>
        <w:t xml:space="preserve">, </w:t>
      </w:r>
      <w:hyperlink r:id="rId25" w:history="1">
        <w:proofErr w:type="spellStart"/>
        <w:r w:rsidRPr="00EB1D71">
          <w:rPr>
            <w:rStyle w:val="Normal-hyperlink-boldChar"/>
            <w:rFonts w:asciiTheme="minorHAnsi" w:hAnsiTheme="minorHAnsi" w:cstheme="minorHAnsi"/>
          </w:rPr>
          <w:t>AgDataCommons</w:t>
        </w:r>
        <w:proofErr w:type="spellEnd"/>
      </w:hyperlink>
      <w:r w:rsidRPr="00EB1D71">
        <w:rPr>
          <w:rFonts w:asciiTheme="minorHAnsi" w:hAnsiTheme="minorHAnsi" w:cstheme="minorHAnsi"/>
        </w:rPr>
        <w:t xml:space="preserve">, </w:t>
      </w:r>
      <w:hyperlink r:id="rId26" w:history="1">
        <w:r w:rsidRPr="00EB1D71">
          <w:rPr>
            <w:rStyle w:val="Normal-hyperlink-boldChar"/>
            <w:rFonts w:asciiTheme="minorHAnsi" w:hAnsiTheme="minorHAnsi" w:cstheme="minorHAnsi"/>
          </w:rPr>
          <w:t>Rothamsted Long-term Experiments Electronic Archive</w:t>
        </w:r>
      </w:hyperlink>
      <w:r w:rsidR="009C7929" w:rsidRPr="00EB1D71">
        <w:rPr>
          <w:rFonts w:asciiTheme="minorHAnsi" w:hAnsiTheme="minorHAnsi" w:cstheme="minorHAnsi"/>
        </w:rPr>
        <w:t>.</w:t>
      </w:r>
      <w:r w:rsidRPr="00EB1D71">
        <w:rPr>
          <w:rFonts w:asciiTheme="minorHAnsi" w:hAnsiTheme="minorHAnsi" w:cstheme="minorHAnsi"/>
        </w:rPr>
        <w:t xml:space="preserve"> These repositories were searched for studies on soil </w:t>
      </w:r>
      <w:proofErr w:type="gramStart"/>
      <w:r w:rsidRPr="00EB1D71">
        <w:rPr>
          <w:rFonts w:asciiTheme="minorHAnsi" w:hAnsiTheme="minorHAnsi" w:cstheme="minorHAnsi"/>
        </w:rPr>
        <w:t>health</w:t>
      </w:r>
      <w:proofErr w:type="gramEnd"/>
      <w:r w:rsidRPr="00EB1D71">
        <w:rPr>
          <w:rFonts w:asciiTheme="minorHAnsi" w:hAnsiTheme="minorHAnsi" w:cstheme="minorHAnsi"/>
        </w:rPr>
        <w:t xml:space="preserve"> or our specific indicators and descriptive information was recorded as listed above.</w:t>
      </w:r>
    </w:p>
    <w:p w14:paraId="3EEADD9A" w14:textId="77777777" w:rsidR="00133BF8" w:rsidRPr="00EB1D71" w:rsidRDefault="00133BF8" w:rsidP="00D5287D">
      <w:pPr>
        <w:pStyle w:val="ListParagraph"/>
        <w:numPr>
          <w:ilvl w:val="0"/>
          <w:numId w:val="15"/>
        </w:numPr>
        <w:spacing w:after="0"/>
        <w:ind w:left="357" w:hanging="357"/>
        <w:rPr>
          <w:rFonts w:asciiTheme="minorHAnsi" w:hAnsiTheme="minorHAnsi" w:cstheme="minorHAnsi"/>
        </w:rPr>
      </w:pPr>
      <w:r w:rsidRPr="00EB1D71">
        <w:rPr>
          <w:rFonts w:asciiTheme="minorHAnsi" w:hAnsiTheme="minorHAnsi" w:cstheme="minorHAnsi"/>
        </w:rPr>
        <w:t xml:space="preserve">One particularly interesting, source, which was a metadata catalogue of 688 European, national and European Joint Programme (EJP) Soil project datasets was identified. The file contained titles, keywords and abstracts. The records that included shortlisted indicators were tagged for further evaluation. </w:t>
      </w:r>
    </w:p>
    <w:p w14:paraId="47C332B4" w14:textId="29E77690" w:rsidR="00133BF8" w:rsidRPr="00EB1D71" w:rsidRDefault="00133BF8" w:rsidP="00D5287D">
      <w:pPr>
        <w:pStyle w:val="ListParagraph"/>
        <w:numPr>
          <w:ilvl w:val="0"/>
          <w:numId w:val="15"/>
        </w:numPr>
        <w:spacing w:afterLines="160" w:after="384" w:line="26" w:lineRule="atLeast"/>
        <w:ind w:left="357" w:hanging="357"/>
        <w:rPr>
          <w:rFonts w:asciiTheme="minorHAnsi" w:hAnsiTheme="minorHAnsi" w:cstheme="minorHAnsi"/>
        </w:rPr>
      </w:pPr>
      <w:r w:rsidRPr="00EB1D71">
        <w:rPr>
          <w:rFonts w:asciiTheme="minorHAnsi" w:hAnsiTheme="minorHAnsi" w:cstheme="minorHAnsi"/>
        </w:rPr>
        <w:t>Alongside the review of data sources described above, the Industry Reference Group was also contacted to identify potential sources of data for developing the interpretation framework.</w:t>
      </w:r>
    </w:p>
    <w:p w14:paraId="364FE875" w14:textId="38A298BB" w:rsidR="00133BF8" w:rsidRPr="00EB1D71" w:rsidRDefault="00133BF8" w:rsidP="002D1294">
      <w:pPr>
        <w:spacing w:afterLines="800" w:after="1920"/>
        <w:rPr>
          <w:rFonts w:asciiTheme="minorHAnsi" w:hAnsiTheme="minorHAnsi" w:cstheme="minorHAnsi"/>
        </w:rPr>
      </w:pPr>
      <w:r w:rsidRPr="00EB1D71">
        <w:rPr>
          <w:rFonts w:asciiTheme="minorHAnsi" w:hAnsiTheme="minorHAnsi" w:cstheme="minorHAnsi"/>
        </w:rPr>
        <w:t xml:space="preserve">The outcome of this exercise was a spreadsheet listing datasets and descriptive information. This was used to underpin the scoring system shown in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_Ref215747874 \h </w:instrText>
      </w:r>
      <w:r w:rsidR="00E522A8"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3</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xml:space="preserve"> applied to each of the indicators (PMN, POXC, HWEC, aggregate stability, slake testing,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/crop rooting).</w:t>
      </w:r>
    </w:p>
    <w:p w14:paraId="725F2DEB" w14:textId="6F96FA31" w:rsidR="00133BF8" w:rsidRPr="00EB1D71" w:rsidRDefault="00133BF8" w:rsidP="00133BF8">
      <w:pPr>
        <w:pStyle w:val="Caption"/>
        <w:keepNext/>
        <w:spacing w:after="0"/>
        <w:rPr>
          <w:rFonts w:asciiTheme="minorHAnsi" w:hAnsiTheme="minorHAnsi" w:cstheme="minorHAnsi"/>
          <w:b w:val="0"/>
        </w:rPr>
      </w:pPr>
      <w:bookmarkStart w:id="23" w:name="_Ref215747874"/>
      <w:bookmarkStart w:id="24" w:name="_Toc228622109"/>
      <w:r w:rsidRPr="00EB1D71">
        <w:rPr>
          <w:rFonts w:asciiTheme="minorHAnsi" w:hAnsiTheme="minorHAnsi" w:cstheme="minorHAnsi"/>
        </w:rPr>
        <w:lastRenderedPageBreak/>
        <w:t xml:space="preserve">Table </w:t>
      </w:r>
      <w:r w:rsidR="009A568B" w:rsidRPr="00EB1D71">
        <w:rPr>
          <w:rFonts w:asciiTheme="minorHAnsi" w:hAnsiTheme="minorHAnsi" w:cstheme="minorHAnsi"/>
        </w:rPr>
        <w:fldChar w:fldCharType="begin"/>
      </w:r>
      <w:r w:rsidR="009A568B" w:rsidRPr="00EB1D71">
        <w:rPr>
          <w:rFonts w:asciiTheme="minorHAnsi" w:hAnsiTheme="minorHAnsi" w:cstheme="minorHAnsi"/>
        </w:rPr>
        <w:instrText xml:space="preserve"> SEQ Table \* ARABIC </w:instrText>
      </w:r>
      <w:r w:rsidR="009A568B" w:rsidRPr="00EB1D71">
        <w:rPr>
          <w:rFonts w:asciiTheme="minorHAnsi" w:hAnsiTheme="minorHAnsi" w:cstheme="minorHAnsi"/>
        </w:rPr>
        <w:fldChar w:fldCharType="separate"/>
      </w:r>
      <w:r w:rsidR="00C400DA">
        <w:rPr>
          <w:rFonts w:asciiTheme="minorHAnsi" w:hAnsiTheme="minorHAnsi" w:cstheme="minorHAnsi"/>
          <w:noProof/>
        </w:rPr>
        <w:t>3</w:t>
      </w:r>
      <w:r w:rsidR="009A568B" w:rsidRPr="00EB1D71">
        <w:rPr>
          <w:rFonts w:asciiTheme="minorHAnsi" w:hAnsiTheme="minorHAnsi" w:cstheme="minorHAnsi"/>
          <w:noProof/>
        </w:rPr>
        <w:fldChar w:fldCharType="end"/>
      </w:r>
      <w:bookmarkEnd w:id="23"/>
      <w:r w:rsidRPr="00EB1D71">
        <w:rPr>
          <w:rFonts w:asciiTheme="minorHAnsi" w:hAnsiTheme="minorHAnsi" w:cstheme="minorHAnsi"/>
          <w:noProof/>
        </w:rPr>
        <w:t>.</w:t>
      </w:r>
      <w:r w:rsidRPr="00EB1D71">
        <w:rPr>
          <w:rFonts w:asciiTheme="minorHAnsi" w:hAnsiTheme="minorHAnsi" w:cstheme="minorHAnsi"/>
        </w:rPr>
        <w:t xml:space="preserve"> Rubric used to score each indicator </w:t>
      </w:r>
      <w:proofErr w:type="gramStart"/>
      <w:r w:rsidRPr="00EB1D71">
        <w:rPr>
          <w:rFonts w:asciiTheme="minorHAnsi" w:hAnsiTheme="minorHAnsi" w:cstheme="minorHAnsi"/>
        </w:rPr>
        <w:t>on the basis of</w:t>
      </w:r>
      <w:proofErr w:type="gramEnd"/>
      <w:r w:rsidRPr="00EB1D71">
        <w:rPr>
          <w:rFonts w:asciiTheme="minorHAnsi" w:hAnsiTheme="minorHAnsi" w:cstheme="minorHAnsi"/>
        </w:rPr>
        <w:t xml:space="preserve"> key criteria relevant to data availability</w:t>
      </w:r>
      <w:bookmarkEnd w:id="24"/>
    </w:p>
    <w:tbl>
      <w:tblPr>
        <w:tblStyle w:val="Style4"/>
        <w:tblW w:w="0" w:type="auto"/>
        <w:tblLook w:val="04A0" w:firstRow="1" w:lastRow="0" w:firstColumn="1" w:lastColumn="0" w:noHBand="0" w:noVBand="1"/>
      </w:tblPr>
      <w:tblGrid>
        <w:gridCol w:w="2013"/>
        <w:gridCol w:w="2516"/>
        <w:gridCol w:w="2288"/>
        <w:gridCol w:w="2243"/>
      </w:tblGrid>
      <w:tr w:rsidR="00133BF8" w:rsidRPr="00EB1D71" w14:paraId="66F398C3" w14:textId="77777777" w:rsidTr="002A1C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E9F4FC"/>
          </w:tcPr>
          <w:p w14:paraId="48717753" w14:textId="77777777" w:rsidR="00133BF8" w:rsidRPr="00B22117" w:rsidRDefault="00133BF8" w:rsidP="002A1C7C">
            <w:pPr>
              <w:pStyle w:val="TableHeading-centred-bold"/>
            </w:pPr>
            <w:r w:rsidRPr="002A1C7C">
              <w:rPr>
                <w:b/>
              </w:rPr>
              <w:t>Criterion</w:t>
            </w:r>
          </w:p>
        </w:tc>
        <w:tc>
          <w:tcPr>
            <w:tcW w:w="2686" w:type="dxa"/>
            <w:shd w:val="clear" w:color="auto" w:fill="E9F4FC"/>
          </w:tcPr>
          <w:p w14:paraId="43FB74CF" w14:textId="77777777" w:rsidR="00133BF8" w:rsidRPr="00B22117" w:rsidRDefault="00133BF8" w:rsidP="002A1C7C">
            <w:pPr>
              <w:pStyle w:val="TableHeading-centred-bold"/>
              <w:cnfStyle w:val="100000000000" w:firstRow="1" w:lastRow="0" w:firstColumn="0" w:lastColumn="0" w:oddVBand="0" w:evenVBand="0" w:oddHBand="0" w:evenHBand="0" w:firstRowFirstColumn="0" w:firstRowLastColumn="0" w:lastRowFirstColumn="0" w:lastRowLastColumn="0"/>
            </w:pPr>
            <w:r w:rsidRPr="002A1C7C">
              <w:rPr>
                <w:b/>
              </w:rPr>
              <w:t>Good availability of data (2)</w:t>
            </w:r>
          </w:p>
        </w:tc>
        <w:tc>
          <w:tcPr>
            <w:tcW w:w="2427" w:type="dxa"/>
            <w:shd w:val="clear" w:color="auto" w:fill="E9F4FC"/>
          </w:tcPr>
          <w:p w14:paraId="20BCF1E2" w14:textId="77777777" w:rsidR="00133BF8" w:rsidRPr="00B22117" w:rsidRDefault="00133BF8" w:rsidP="002A1C7C">
            <w:pPr>
              <w:pStyle w:val="TableHeading-centred-bold"/>
              <w:cnfStyle w:val="100000000000" w:firstRow="1" w:lastRow="0" w:firstColumn="0" w:lastColumn="0" w:oddVBand="0" w:evenVBand="0" w:oddHBand="0" w:evenHBand="0" w:firstRowFirstColumn="0" w:firstRowLastColumn="0" w:lastRowFirstColumn="0" w:lastRowLastColumn="0"/>
            </w:pPr>
            <w:r w:rsidRPr="002A1C7C">
              <w:rPr>
                <w:b/>
              </w:rPr>
              <w:t>Moderate availability of data (1)</w:t>
            </w:r>
          </w:p>
        </w:tc>
        <w:tc>
          <w:tcPr>
            <w:tcW w:w="2393" w:type="dxa"/>
            <w:shd w:val="clear" w:color="auto" w:fill="E9F4FC"/>
          </w:tcPr>
          <w:p w14:paraId="0B9825EC" w14:textId="77777777" w:rsidR="00133BF8" w:rsidRPr="00B22117" w:rsidRDefault="00133BF8" w:rsidP="002A1C7C">
            <w:pPr>
              <w:pStyle w:val="TableHeading-centred-bold"/>
              <w:cnfStyle w:val="100000000000" w:firstRow="1" w:lastRow="0" w:firstColumn="0" w:lastColumn="0" w:oddVBand="0" w:evenVBand="0" w:oddHBand="0" w:evenHBand="0" w:firstRowFirstColumn="0" w:firstRowLastColumn="0" w:lastRowFirstColumn="0" w:lastRowLastColumn="0"/>
            </w:pPr>
            <w:r w:rsidRPr="002A1C7C">
              <w:rPr>
                <w:b/>
              </w:rPr>
              <w:t>Poor availability of data (0)</w:t>
            </w:r>
          </w:p>
        </w:tc>
      </w:tr>
      <w:tr w:rsidR="00133BF8" w:rsidRPr="00EB1D71" w14:paraId="575BD3D6" w14:textId="77777777" w:rsidTr="00133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2A385C5D" w14:textId="77777777" w:rsidR="00133BF8" w:rsidRPr="00A01122" w:rsidRDefault="00133BF8" w:rsidP="002A1C7C">
            <w:pPr>
              <w:pStyle w:val="Table-Body-centred"/>
              <w:jc w:val="left"/>
              <w:rPr>
                <w:b w:val="0"/>
                <w:bCs/>
              </w:rPr>
            </w:pPr>
            <w:r w:rsidRPr="00A01122">
              <w:rPr>
                <w:b w:val="0"/>
                <w:bCs/>
              </w:rPr>
              <w:t>Volume of data</w:t>
            </w:r>
          </w:p>
        </w:tc>
        <w:tc>
          <w:tcPr>
            <w:tcW w:w="2686" w:type="dxa"/>
            <w:shd w:val="clear" w:color="auto" w:fill="auto"/>
          </w:tcPr>
          <w:p w14:paraId="4F3C285C" w14:textId="77777777" w:rsidR="00133BF8" w:rsidRPr="00A01122" w:rsidRDefault="00133BF8" w:rsidP="002A1C7C">
            <w:pPr>
              <w:pStyle w:val="Table-Body-leftaligned"/>
              <w:cnfStyle w:val="100000000000" w:firstRow="1" w:lastRow="0" w:firstColumn="0" w:lastColumn="0" w:oddVBand="0" w:evenVBand="0" w:oddHBand="0" w:evenHBand="0" w:firstRowFirstColumn="0" w:firstRowLastColumn="0" w:lastRowFirstColumn="0" w:lastRowLastColumn="0"/>
              <w:rPr>
                <w:b w:val="0"/>
                <w:bCs/>
              </w:rPr>
            </w:pPr>
            <w:r w:rsidRPr="00A01122">
              <w:rPr>
                <w:b w:val="0"/>
                <w:bCs/>
              </w:rPr>
              <w:t>Multiple (&gt;5) datasets with at least 100 entries are available</w:t>
            </w:r>
          </w:p>
        </w:tc>
        <w:tc>
          <w:tcPr>
            <w:tcW w:w="2427" w:type="dxa"/>
            <w:shd w:val="clear" w:color="auto" w:fill="auto"/>
          </w:tcPr>
          <w:p w14:paraId="51E543B0" w14:textId="77777777" w:rsidR="00133BF8" w:rsidRPr="00A01122" w:rsidRDefault="00133BF8" w:rsidP="002A1C7C">
            <w:pPr>
              <w:pStyle w:val="Table-Body-leftaligned"/>
              <w:cnfStyle w:val="100000000000" w:firstRow="1" w:lastRow="0" w:firstColumn="0" w:lastColumn="0" w:oddVBand="0" w:evenVBand="0" w:oddHBand="0" w:evenHBand="0" w:firstRowFirstColumn="0" w:firstRowLastColumn="0" w:lastRowFirstColumn="0" w:lastRowLastColumn="0"/>
              <w:rPr>
                <w:b w:val="0"/>
                <w:bCs/>
              </w:rPr>
            </w:pPr>
            <w:r w:rsidRPr="00A01122">
              <w:rPr>
                <w:b w:val="0"/>
                <w:bCs/>
              </w:rPr>
              <w:t>Some (1-5) datasets with at least 100 entries are available</w:t>
            </w:r>
          </w:p>
        </w:tc>
        <w:tc>
          <w:tcPr>
            <w:tcW w:w="2393" w:type="dxa"/>
            <w:shd w:val="clear" w:color="auto" w:fill="auto"/>
          </w:tcPr>
          <w:p w14:paraId="636290DA" w14:textId="77777777" w:rsidR="00133BF8" w:rsidRPr="00A01122" w:rsidRDefault="00133BF8" w:rsidP="002A1C7C">
            <w:pPr>
              <w:pStyle w:val="Table-Body-leftaligned"/>
              <w:cnfStyle w:val="100000000000" w:firstRow="1" w:lastRow="0" w:firstColumn="0" w:lastColumn="0" w:oddVBand="0" w:evenVBand="0" w:oddHBand="0" w:evenHBand="0" w:firstRowFirstColumn="0" w:firstRowLastColumn="0" w:lastRowFirstColumn="0" w:lastRowLastColumn="0"/>
              <w:rPr>
                <w:b w:val="0"/>
                <w:bCs/>
              </w:rPr>
            </w:pPr>
            <w:r w:rsidRPr="00A01122">
              <w:rPr>
                <w:b w:val="0"/>
                <w:bCs/>
              </w:rPr>
              <w:t>No datasets with at least 100 entries are available</w:t>
            </w:r>
          </w:p>
        </w:tc>
      </w:tr>
      <w:tr w:rsidR="00133BF8" w:rsidRPr="00EB1D71" w14:paraId="2AD5E599" w14:textId="77777777" w:rsidTr="00133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78DA8E02" w14:textId="77777777" w:rsidR="00133BF8" w:rsidRPr="00A01122" w:rsidRDefault="00133BF8" w:rsidP="002A1C7C">
            <w:pPr>
              <w:pStyle w:val="Table-Body-centred"/>
              <w:jc w:val="left"/>
              <w:rPr>
                <w:b w:val="0"/>
                <w:bCs/>
              </w:rPr>
            </w:pPr>
            <w:r w:rsidRPr="00A01122">
              <w:rPr>
                <w:b w:val="0"/>
                <w:bCs/>
              </w:rPr>
              <w:t>Geographic relevance of the data</w:t>
            </w:r>
          </w:p>
        </w:tc>
        <w:tc>
          <w:tcPr>
            <w:tcW w:w="2686" w:type="dxa"/>
            <w:shd w:val="clear" w:color="auto" w:fill="auto"/>
          </w:tcPr>
          <w:p w14:paraId="7386D7B0" w14:textId="77777777" w:rsidR="00133BF8" w:rsidRPr="00A01122" w:rsidRDefault="00133BF8" w:rsidP="002A1C7C">
            <w:pPr>
              <w:pStyle w:val="Table-Body-leftaligned"/>
              <w:cnfStyle w:val="100000000000" w:firstRow="1" w:lastRow="0" w:firstColumn="0" w:lastColumn="0" w:oddVBand="0" w:evenVBand="0" w:oddHBand="0" w:evenHBand="0" w:firstRowFirstColumn="0" w:firstRowLastColumn="0" w:lastRowFirstColumn="0" w:lastRowLastColumn="0"/>
              <w:rPr>
                <w:b w:val="0"/>
                <w:bCs/>
              </w:rPr>
            </w:pPr>
            <w:r w:rsidRPr="00A01122">
              <w:rPr>
                <w:b w:val="0"/>
                <w:bCs/>
              </w:rPr>
              <w:t>&gt;50% datasets from a UK source</w:t>
            </w:r>
          </w:p>
        </w:tc>
        <w:tc>
          <w:tcPr>
            <w:tcW w:w="2427" w:type="dxa"/>
            <w:shd w:val="clear" w:color="auto" w:fill="auto"/>
          </w:tcPr>
          <w:p w14:paraId="170D699C" w14:textId="77777777" w:rsidR="00133BF8" w:rsidRPr="00A01122" w:rsidRDefault="00133BF8" w:rsidP="002A1C7C">
            <w:pPr>
              <w:pStyle w:val="Table-Body-leftaligned"/>
              <w:cnfStyle w:val="100000000000" w:firstRow="1" w:lastRow="0" w:firstColumn="0" w:lastColumn="0" w:oddVBand="0" w:evenVBand="0" w:oddHBand="0" w:evenHBand="0" w:firstRowFirstColumn="0" w:firstRowLastColumn="0" w:lastRowFirstColumn="0" w:lastRowLastColumn="0"/>
              <w:rPr>
                <w:b w:val="0"/>
                <w:bCs/>
              </w:rPr>
            </w:pPr>
            <w:r w:rsidRPr="00A01122">
              <w:rPr>
                <w:b w:val="0"/>
                <w:bCs/>
              </w:rPr>
              <w:t>&gt;50% datasets from a temperate climate zone outside UK</w:t>
            </w:r>
          </w:p>
        </w:tc>
        <w:tc>
          <w:tcPr>
            <w:tcW w:w="2393" w:type="dxa"/>
            <w:shd w:val="clear" w:color="auto" w:fill="auto"/>
          </w:tcPr>
          <w:p w14:paraId="78994416" w14:textId="77777777" w:rsidR="00133BF8" w:rsidRPr="00A01122" w:rsidRDefault="00133BF8" w:rsidP="002A1C7C">
            <w:pPr>
              <w:pStyle w:val="Table-Body-leftaligned"/>
              <w:cnfStyle w:val="100000000000" w:firstRow="1" w:lastRow="0" w:firstColumn="0" w:lastColumn="0" w:oddVBand="0" w:evenVBand="0" w:oddHBand="0" w:evenHBand="0" w:firstRowFirstColumn="0" w:firstRowLastColumn="0" w:lastRowFirstColumn="0" w:lastRowLastColumn="0"/>
              <w:rPr>
                <w:b w:val="0"/>
                <w:bCs/>
              </w:rPr>
            </w:pPr>
            <w:r w:rsidRPr="00A01122">
              <w:rPr>
                <w:b w:val="0"/>
                <w:bCs/>
              </w:rPr>
              <w:t>Data is not from a UK-relevant region</w:t>
            </w:r>
          </w:p>
        </w:tc>
      </w:tr>
      <w:tr w:rsidR="00133BF8" w:rsidRPr="00EB1D71" w14:paraId="7858E749" w14:textId="77777777" w:rsidTr="00133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6AD5DDBF" w14:textId="45D4EEBC" w:rsidR="00133BF8" w:rsidRPr="00A01122" w:rsidRDefault="00133BF8" w:rsidP="002A1C7C">
            <w:pPr>
              <w:pStyle w:val="Table-Body-centred"/>
              <w:jc w:val="left"/>
              <w:rPr>
                <w:b w:val="0"/>
                <w:bCs/>
              </w:rPr>
            </w:pPr>
            <w:r w:rsidRPr="00A01122">
              <w:rPr>
                <w:b w:val="0"/>
                <w:bCs/>
              </w:rPr>
              <w:t>Relationship to soil health indicator</w:t>
            </w:r>
            <w:r w:rsidR="00DF197A" w:rsidRPr="00A01122">
              <w:rPr>
                <w:rStyle w:val="FootnoteReference"/>
                <w:rFonts w:asciiTheme="minorHAnsi" w:hAnsiTheme="minorHAnsi"/>
                <w:b w:val="0"/>
                <w:bCs/>
              </w:rPr>
              <w:footnoteReference w:id="4"/>
            </w:r>
          </w:p>
        </w:tc>
        <w:tc>
          <w:tcPr>
            <w:tcW w:w="2686" w:type="dxa"/>
            <w:shd w:val="clear" w:color="auto" w:fill="auto"/>
          </w:tcPr>
          <w:p w14:paraId="29A8C6F3" w14:textId="77777777" w:rsidR="00133BF8" w:rsidRPr="00A01122" w:rsidRDefault="00133BF8" w:rsidP="002A1C7C">
            <w:pPr>
              <w:pStyle w:val="Table-Body-leftaligned"/>
              <w:cnfStyle w:val="100000000000" w:firstRow="1" w:lastRow="0" w:firstColumn="0" w:lastColumn="0" w:oddVBand="0" w:evenVBand="0" w:oddHBand="0" w:evenHBand="0" w:firstRowFirstColumn="0" w:firstRowLastColumn="0" w:lastRowFirstColumn="0" w:lastRowLastColumn="0"/>
              <w:rPr>
                <w:b w:val="0"/>
                <w:bCs/>
              </w:rPr>
            </w:pPr>
            <w:r w:rsidRPr="00A01122">
              <w:rPr>
                <w:b w:val="0"/>
                <w:bCs/>
              </w:rPr>
              <w:t>&gt;50% of the data is for the same soil health indicator measured using the preferred method</w:t>
            </w:r>
          </w:p>
        </w:tc>
        <w:tc>
          <w:tcPr>
            <w:tcW w:w="2427" w:type="dxa"/>
            <w:shd w:val="clear" w:color="auto" w:fill="auto"/>
          </w:tcPr>
          <w:p w14:paraId="4AE514BE" w14:textId="77777777" w:rsidR="00133BF8" w:rsidRPr="00A01122" w:rsidRDefault="00133BF8" w:rsidP="002A1C7C">
            <w:pPr>
              <w:pStyle w:val="Table-Body-leftaligned"/>
              <w:cnfStyle w:val="100000000000" w:firstRow="1" w:lastRow="0" w:firstColumn="0" w:lastColumn="0" w:oddVBand="0" w:evenVBand="0" w:oddHBand="0" w:evenHBand="0" w:firstRowFirstColumn="0" w:firstRowLastColumn="0" w:lastRowFirstColumn="0" w:lastRowLastColumn="0"/>
              <w:rPr>
                <w:b w:val="0"/>
                <w:bCs/>
              </w:rPr>
            </w:pPr>
            <w:r w:rsidRPr="00A01122">
              <w:rPr>
                <w:b w:val="0"/>
                <w:bCs/>
              </w:rPr>
              <w:t>&gt;50% of the data is for an indicator of the same process/ function, but not the specified method</w:t>
            </w:r>
          </w:p>
        </w:tc>
        <w:tc>
          <w:tcPr>
            <w:tcW w:w="2393" w:type="dxa"/>
            <w:shd w:val="clear" w:color="auto" w:fill="auto"/>
          </w:tcPr>
          <w:p w14:paraId="5159AD44" w14:textId="290D8C48" w:rsidR="00133BF8" w:rsidRPr="00A01122" w:rsidRDefault="007F56B5" w:rsidP="002A1C7C">
            <w:pPr>
              <w:pStyle w:val="Table-Body-leftaligned"/>
              <w:cnfStyle w:val="100000000000" w:firstRow="1" w:lastRow="0" w:firstColumn="0" w:lastColumn="0" w:oddVBand="0" w:evenVBand="0" w:oddHBand="0" w:evenHBand="0" w:firstRowFirstColumn="0" w:firstRowLastColumn="0" w:lastRowFirstColumn="0" w:lastRowLastColumn="0"/>
              <w:rPr>
                <w:b w:val="0"/>
                <w:bCs/>
              </w:rPr>
            </w:pPr>
            <w:r w:rsidRPr="00A01122">
              <w:rPr>
                <w:b w:val="0"/>
                <w:bCs/>
              </w:rPr>
              <w:t>NA</w:t>
            </w:r>
          </w:p>
        </w:tc>
      </w:tr>
      <w:tr w:rsidR="00133BF8" w:rsidRPr="00EB1D71" w14:paraId="263981C1" w14:textId="77777777" w:rsidTr="00133B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05ADD6B5" w14:textId="77777777" w:rsidR="00133BF8" w:rsidRPr="00A01122" w:rsidRDefault="00133BF8" w:rsidP="002A1C7C">
            <w:pPr>
              <w:pStyle w:val="Table-Body-centred"/>
              <w:jc w:val="left"/>
              <w:rPr>
                <w:b w:val="0"/>
                <w:bCs/>
              </w:rPr>
            </w:pPr>
            <w:r w:rsidRPr="00A01122">
              <w:rPr>
                <w:b w:val="0"/>
                <w:bCs/>
              </w:rPr>
              <w:t>Robustness of data</w:t>
            </w:r>
          </w:p>
        </w:tc>
        <w:tc>
          <w:tcPr>
            <w:tcW w:w="2686" w:type="dxa"/>
            <w:shd w:val="clear" w:color="auto" w:fill="auto"/>
          </w:tcPr>
          <w:p w14:paraId="7912828A" w14:textId="77777777" w:rsidR="00133BF8" w:rsidRPr="00A01122" w:rsidRDefault="00133BF8" w:rsidP="002A1C7C">
            <w:pPr>
              <w:pStyle w:val="Table-Body-leftaligned"/>
              <w:cnfStyle w:val="100000000000" w:firstRow="1" w:lastRow="0" w:firstColumn="0" w:lastColumn="0" w:oddVBand="0" w:evenVBand="0" w:oddHBand="0" w:evenHBand="0" w:firstRowFirstColumn="0" w:firstRowLastColumn="0" w:lastRowFirstColumn="0" w:lastRowLastColumn="0"/>
              <w:rPr>
                <w:b w:val="0"/>
                <w:bCs/>
              </w:rPr>
            </w:pPr>
            <w:r w:rsidRPr="00A01122">
              <w:rPr>
                <w:b w:val="0"/>
                <w:bCs/>
              </w:rPr>
              <w:t>&gt;50% of data from national monitoring schemes or research projects representing a broad range of soil types and management</w:t>
            </w:r>
          </w:p>
        </w:tc>
        <w:tc>
          <w:tcPr>
            <w:tcW w:w="2427" w:type="dxa"/>
            <w:shd w:val="clear" w:color="auto" w:fill="auto"/>
          </w:tcPr>
          <w:p w14:paraId="5626EF74" w14:textId="77777777" w:rsidR="00133BF8" w:rsidRPr="00A01122" w:rsidRDefault="00133BF8" w:rsidP="002A1C7C">
            <w:pPr>
              <w:pStyle w:val="Table-Body-leftaligned"/>
              <w:cnfStyle w:val="100000000000" w:firstRow="1" w:lastRow="0" w:firstColumn="0" w:lastColumn="0" w:oddVBand="0" w:evenVBand="0" w:oddHBand="0" w:evenHBand="0" w:firstRowFirstColumn="0" w:firstRowLastColumn="0" w:lastRowFirstColumn="0" w:lastRowLastColumn="0"/>
              <w:rPr>
                <w:b w:val="0"/>
                <w:bCs/>
              </w:rPr>
            </w:pPr>
            <w:r w:rsidRPr="00A01122">
              <w:rPr>
                <w:b w:val="0"/>
                <w:bCs/>
              </w:rPr>
              <w:t>&gt;50% of data is from a specific experiment with limited range of soil types or management or meta-analyses</w:t>
            </w:r>
          </w:p>
        </w:tc>
        <w:tc>
          <w:tcPr>
            <w:tcW w:w="2393" w:type="dxa"/>
            <w:shd w:val="clear" w:color="auto" w:fill="auto"/>
          </w:tcPr>
          <w:p w14:paraId="2EBD10C8" w14:textId="2336DF9D" w:rsidR="00133BF8" w:rsidRPr="00A01122" w:rsidRDefault="007F56B5" w:rsidP="002A1C7C">
            <w:pPr>
              <w:pStyle w:val="Table-Body-leftaligned"/>
              <w:cnfStyle w:val="100000000000" w:firstRow="1" w:lastRow="0" w:firstColumn="0" w:lastColumn="0" w:oddVBand="0" w:evenVBand="0" w:oddHBand="0" w:evenHBand="0" w:firstRowFirstColumn="0" w:firstRowLastColumn="0" w:lastRowFirstColumn="0" w:lastRowLastColumn="0"/>
              <w:rPr>
                <w:b w:val="0"/>
                <w:bCs/>
              </w:rPr>
            </w:pPr>
            <w:r w:rsidRPr="00A01122">
              <w:rPr>
                <w:b w:val="0"/>
                <w:bCs/>
              </w:rPr>
              <w:t>NA</w:t>
            </w:r>
          </w:p>
        </w:tc>
      </w:tr>
    </w:tbl>
    <w:p w14:paraId="60A9408D" w14:textId="77777777" w:rsidR="00133BF8" w:rsidRPr="00EB1D71" w:rsidRDefault="00133BF8" w:rsidP="00133BF8">
      <w:pPr>
        <w:spacing w:line="278" w:lineRule="auto"/>
        <w:rPr>
          <w:rFonts w:asciiTheme="minorHAnsi" w:hAnsiTheme="minorHAnsi" w:cstheme="minorHAnsi"/>
        </w:rPr>
      </w:pPr>
    </w:p>
    <w:p w14:paraId="22C612B8" w14:textId="5177A643" w:rsidR="00FE2E5D" w:rsidRPr="00EB1D71" w:rsidRDefault="00133BF8">
      <w:pPr>
        <w:spacing w:line="278" w:lineRule="auto"/>
        <w:rPr>
          <w:rFonts w:asciiTheme="minorHAnsi" w:hAnsiTheme="minorHAnsi" w:cstheme="minorHAnsi"/>
        </w:rPr>
      </w:pPr>
      <w:r w:rsidRPr="00EB1D71">
        <w:rPr>
          <w:rFonts w:asciiTheme="minorHAnsi" w:hAnsiTheme="minorHAnsi" w:cstheme="minorHAnsi"/>
        </w:rPr>
        <w:t>Scores for each of the four criteria in the rubric were averaged for each indicator and added to the main logical sieve. Where more than one method was used to generate the data, scores for the preferred method were weighted more heavily when calculating the averages</w:t>
      </w:r>
      <w:r w:rsidRPr="00EB1D71">
        <w:rPr>
          <w:rStyle w:val="FootnoteReference"/>
          <w:rFonts w:asciiTheme="minorHAnsi" w:hAnsiTheme="minorHAnsi" w:cstheme="minorHAnsi"/>
        </w:rPr>
        <w:footnoteReference w:id="5"/>
      </w:r>
      <w:r w:rsidRPr="00EB1D71">
        <w:rPr>
          <w:rFonts w:asciiTheme="minorHAnsi" w:hAnsiTheme="minorHAnsi" w:cstheme="minorHAnsi"/>
        </w:rPr>
        <w:t>.</w:t>
      </w:r>
    </w:p>
    <w:p w14:paraId="5F55EEF3" w14:textId="77777777" w:rsidR="00133BF8" w:rsidRPr="002A1C7C" w:rsidRDefault="00133BF8" w:rsidP="00133BF8">
      <w:pPr>
        <w:pStyle w:val="Heading4"/>
        <w:rPr>
          <w:rFonts w:asciiTheme="minorHAnsi" w:hAnsiTheme="minorHAnsi" w:cstheme="minorHAnsi"/>
          <w:color w:val="006197" w:themeColor="text1" w:themeShade="BF"/>
        </w:rPr>
      </w:pPr>
      <w:bookmarkStart w:id="25" w:name="_Toc228622077"/>
      <w:r w:rsidRPr="002A1C7C">
        <w:rPr>
          <w:rFonts w:asciiTheme="minorHAnsi" w:hAnsiTheme="minorHAnsi" w:cstheme="minorHAnsi"/>
          <w:color w:val="006197" w:themeColor="text1" w:themeShade="BF"/>
        </w:rPr>
        <w:t>Methods – Usefulness for farmers</w:t>
      </w:r>
      <w:bookmarkEnd w:id="25"/>
    </w:p>
    <w:p w14:paraId="7940DFB1" w14:textId="14F5774A" w:rsidR="0055162B" w:rsidRPr="00EB1D71" w:rsidRDefault="00133BF8">
      <w:pPr>
        <w:spacing w:line="278" w:lineRule="auto"/>
        <w:rPr>
          <w:rFonts w:asciiTheme="minorHAnsi" w:hAnsiTheme="minorHAnsi" w:cstheme="minorHAnsi"/>
        </w:rPr>
      </w:pPr>
      <w:r w:rsidRPr="00EB1D71">
        <w:rPr>
          <w:rFonts w:asciiTheme="minorHAnsi" w:hAnsiTheme="minorHAnsi" w:cstheme="minorHAnsi"/>
        </w:rPr>
        <w:t xml:space="preserve">The utility of any shortlisted indicator to farmers was particularly important to ensure that proposed indicators were positively received in the farming community. To this end, stakeholder workshops (two, online) were held where all shortlisted indicators were presented to farmers and advisors, alongside briefings which described each indicator method, meaning and potential on-farm application (see Task 2.3 Stakeholder workshops). </w:t>
      </w:r>
    </w:p>
    <w:p w14:paraId="6A03AA6D" w14:textId="08FDF2A7" w:rsidR="00F51E07" w:rsidRDefault="00133BF8">
      <w:pPr>
        <w:spacing w:line="278" w:lineRule="auto"/>
        <w:rPr>
          <w:rFonts w:asciiTheme="minorHAnsi" w:hAnsiTheme="minorHAnsi" w:cstheme="minorHAnsi"/>
        </w:rPr>
      </w:pPr>
      <w:r w:rsidRPr="00EB1D71">
        <w:rPr>
          <w:rFonts w:asciiTheme="minorHAnsi" w:hAnsiTheme="minorHAnsi" w:cstheme="minorHAnsi"/>
        </w:rPr>
        <w:t xml:space="preserve">Participants were then asked to vote on </w:t>
      </w:r>
      <w:proofErr w:type="gramStart"/>
      <w:r w:rsidRPr="00EB1D71">
        <w:rPr>
          <w:rFonts w:asciiTheme="minorHAnsi" w:hAnsiTheme="minorHAnsi" w:cstheme="minorHAnsi"/>
        </w:rPr>
        <w:t>whether or not</w:t>
      </w:r>
      <w:proofErr w:type="gramEnd"/>
      <w:r w:rsidRPr="00EB1D71">
        <w:rPr>
          <w:rFonts w:asciiTheme="minorHAnsi" w:hAnsiTheme="minorHAnsi" w:cstheme="minorHAnsi"/>
        </w:rPr>
        <w:t xml:space="preserve"> they would want to include each indicator in their on-farm soil health assessments. The votes were incorporated into the logical sieve using a scoring rubric based on the results from both industry workshops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_Ref223943156 \h </w:instrText>
      </w:r>
      <w:r w:rsidR="00E522A8"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4</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w:t>
      </w:r>
    </w:p>
    <w:p w14:paraId="1152B35B" w14:textId="77777777" w:rsidR="00F51E07" w:rsidRDefault="00F51E07">
      <w:pPr>
        <w:spacing w:line="278" w:lineRule="auto"/>
        <w:rPr>
          <w:rFonts w:asciiTheme="minorHAnsi" w:hAnsiTheme="minorHAnsi" w:cstheme="minorHAnsi"/>
        </w:rPr>
      </w:pPr>
      <w:r>
        <w:rPr>
          <w:rFonts w:asciiTheme="minorHAnsi" w:hAnsiTheme="minorHAnsi" w:cstheme="minorHAnsi"/>
        </w:rPr>
        <w:br w:type="page"/>
      </w:r>
    </w:p>
    <w:p w14:paraId="512AC832" w14:textId="06043A9C" w:rsidR="00133BF8" w:rsidRPr="00EB1D71" w:rsidRDefault="00133BF8" w:rsidP="00133BF8">
      <w:pPr>
        <w:pStyle w:val="Caption"/>
        <w:keepNext/>
        <w:spacing w:after="0"/>
        <w:rPr>
          <w:rFonts w:asciiTheme="minorHAnsi" w:hAnsiTheme="minorHAnsi" w:cstheme="minorHAnsi"/>
          <w:szCs w:val="22"/>
        </w:rPr>
      </w:pPr>
      <w:bookmarkStart w:id="26" w:name="_Ref223943156"/>
      <w:bookmarkStart w:id="27" w:name="_Toc228622110"/>
      <w:r w:rsidRPr="00EB1D71">
        <w:rPr>
          <w:rFonts w:asciiTheme="minorHAnsi" w:hAnsiTheme="minorHAnsi" w:cstheme="minorHAnsi"/>
          <w:szCs w:val="22"/>
        </w:rPr>
        <w:lastRenderedPageBreak/>
        <w:t xml:space="preserve">Table </w:t>
      </w:r>
      <w:r w:rsidRPr="00EB1D71">
        <w:rPr>
          <w:rFonts w:asciiTheme="minorHAnsi" w:hAnsiTheme="minorHAnsi" w:cstheme="minorHAnsi"/>
          <w:szCs w:val="22"/>
        </w:rPr>
        <w:fldChar w:fldCharType="begin"/>
      </w:r>
      <w:r w:rsidRPr="00EB1D71">
        <w:rPr>
          <w:rFonts w:asciiTheme="minorHAnsi" w:hAnsiTheme="minorHAnsi" w:cstheme="minorHAnsi"/>
          <w:szCs w:val="22"/>
        </w:rPr>
        <w:instrText xml:space="preserve"> SEQ Table \* ARABIC </w:instrText>
      </w:r>
      <w:r w:rsidRPr="00EB1D71">
        <w:rPr>
          <w:rFonts w:asciiTheme="minorHAnsi" w:hAnsiTheme="minorHAnsi" w:cstheme="minorHAnsi"/>
          <w:szCs w:val="22"/>
        </w:rPr>
        <w:fldChar w:fldCharType="separate"/>
      </w:r>
      <w:r w:rsidR="00C400DA">
        <w:rPr>
          <w:rFonts w:asciiTheme="minorHAnsi" w:hAnsiTheme="minorHAnsi" w:cstheme="minorHAnsi"/>
          <w:noProof/>
          <w:szCs w:val="22"/>
        </w:rPr>
        <w:t>4</w:t>
      </w:r>
      <w:r w:rsidRPr="00EB1D71">
        <w:rPr>
          <w:rFonts w:asciiTheme="minorHAnsi" w:hAnsiTheme="minorHAnsi" w:cstheme="minorHAnsi"/>
          <w:szCs w:val="22"/>
        </w:rPr>
        <w:fldChar w:fldCharType="end"/>
      </w:r>
      <w:bookmarkEnd w:id="26"/>
      <w:r w:rsidRPr="00EB1D71">
        <w:rPr>
          <w:rFonts w:asciiTheme="minorHAnsi" w:hAnsiTheme="minorHAnsi" w:cstheme="minorHAnsi"/>
          <w:szCs w:val="22"/>
        </w:rPr>
        <w:t>. Rubric used to score the farmer utility of the indicator shortlist.</w:t>
      </w:r>
      <w:bookmarkEnd w:id="27"/>
    </w:p>
    <w:tbl>
      <w:tblPr>
        <w:tblStyle w:val="TableGrid"/>
        <w:tblW w:w="0" w:type="auto"/>
        <w:tblLook w:val="04A0" w:firstRow="1" w:lastRow="0" w:firstColumn="1" w:lastColumn="0" w:noHBand="0" w:noVBand="1"/>
      </w:tblPr>
      <w:tblGrid>
        <w:gridCol w:w="840"/>
        <w:gridCol w:w="3550"/>
        <w:gridCol w:w="4670"/>
      </w:tblGrid>
      <w:tr w:rsidR="00133BF8" w:rsidRPr="00EB1D71" w14:paraId="27C40803" w14:textId="77777777" w:rsidTr="00D81E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0" w:type="dxa"/>
          </w:tcPr>
          <w:p w14:paraId="714F1368" w14:textId="77777777" w:rsidR="00133BF8" w:rsidRPr="00B22117" w:rsidRDefault="00133BF8" w:rsidP="002A1C7C">
            <w:pPr>
              <w:pStyle w:val="TableHeading-centred-bold"/>
            </w:pPr>
            <w:r w:rsidRPr="002A1C7C">
              <w:rPr>
                <w:b/>
              </w:rPr>
              <w:t>Score</w:t>
            </w:r>
          </w:p>
        </w:tc>
        <w:tc>
          <w:tcPr>
            <w:tcW w:w="3550" w:type="dxa"/>
          </w:tcPr>
          <w:p w14:paraId="01A8768B" w14:textId="77777777" w:rsidR="00133BF8" w:rsidRPr="00B22117" w:rsidRDefault="00133BF8" w:rsidP="002A1C7C">
            <w:pPr>
              <w:pStyle w:val="TableHeading-centred-bold"/>
              <w:cnfStyle w:val="100000000000" w:firstRow="1" w:lastRow="0" w:firstColumn="0" w:lastColumn="0" w:oddVBand="0" w:evenVBand="0" w:oddHBand="0" w:evenHBand="0" w:firstRowFirstColumn="0" w:firstRowLastColumn="0" w:lastRowFirstColumn="0" w:lastRowLastColumn="0"/>
            </w:pPr>
            <w:r w:rsidRPr="002A1C7C">
              <w:rPr>
                <w:b/>
              </w:rPr>
              <w:t>Summary</w:t>
            </w:r>
          </w:p>
        </w:tc>
        <w:tc>
          <w:tcPr>
            <w:tcW w:w="4670" w:type="dxa"/>
          </w:tcPr>
          <w:p w14:paraId="36D86C6B" w14:textId="77777777" w:rsidR="00133BF8" w:rsidRPr="00B22117" w:rsidRDefault="00133BF8" w:rsidP="002A1C7C">
            <w:pPr>
              <w:pStyle w:val="TableHeading-centred-bold"/>
              <w:cnfStyle w:val="100000000000" w:firstRow="1" w:lastRow="0" w:firstColumn="0" w:lastColumn="0" w:oddVBand="0" w:evenVBand="0" w:oddHBand="0" w:evenHBand="0" w:firstRowFirstColumn="0" w:firstRowLastColumn="0" w:lastRowFirstColumn="0" w:lastRowLastColumn="0"/>
            </w:pPr>
            <w:r w:rsidRPr="002A1C7C">
              <w:rPr>
                <w:b/>
              </w:rPr>
              <w:t>Description</w:t>
            </w:r>
          </w:p>
        </w:tc>
      </w:tr>
      <w:tr w:rsidR="00133BF8" w:rsidRPr="00EB1D71" w14:paraId="61C9A180" w14:textId="77777777" w:rsidTr="00D81E7E">
        <w:trPr>
          <w:trHeight w:val="922"/>
        </w:trPr>
        <w:tc>
          <w:tcPr>
            <w:cnfStyle w:val="001000000000" w:firstRow="0" w:lastRow="0" w:firstColumn="1" w:lastColumn="0" w:oddVBand="0" w:evenVBand="0" w:oddHBand="0" w:evenHBand="0" w:firstRowFirstColumn="0" w:firstRowLastColumn="0" w:lastRowFirstColumn="0" w:lastRowLastColumn="0"/>
            <w:tcW w:w="840" w:type="dxa"/>
          </w:tcPr>
          <w:p w14:paraId="26741071" w14:textId="77777777" w:rsidR="00133BF8" w:rsidRPr="002A1C7C" w:rsidRDefault="00133BF8" w:rsidP="002A1C7C">
            <w:pPr>
              <w:pStyle w:val="Table-Body-leftaligned"/>
              <w:rPr>
                <w:b w:val="0"/>
                <w:bCs/>
              </w:rPr>
            </w:pPr>
            <w:r w:rsidRPr="00584811">
              <w:rPr>
                <w:bCs/>
              </w:rPr>
              <w:t>2</w:t>
            </w:r>
          </w:p>
        </w:tc>
        <w:tc>
          <w:tcPr>
            <w:tcW w:w="3550" w:type="dxa"/>
          </w:tcPr>
          <w:p w14:paraId="4DA77F1D" w14:textId="77777777" w:rsidR="00133BF8" w:rsidRPr="00FC2222" w:rsidRDefault="00133BF8"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Easily interpretable by farmers</w:t>
            </w:r>
          </w:p>
        </w:tc>
        <w:tc>
          <w:tcPr>
            <w:tcW w:w="4670" w:type="dxa"/>
          </w:tcPr>
          <w:p w14:paraId="2DC460FD" w14:textId="77777777" w:rsidR="00133BF8" w:rsidRPr="00FC2222" w:rsidRDefault="00133BF8"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Results show that the majority (over 60%) of participants know enough about this indicator to include</w:t>
            </w:r>
          </w:p>
        </w:tc>
      </w:tr>
      <w:tr w:rsidR="00133BF8" w:rsidRPr="00EB1D71" w14:paraId="27FC0188" w14:textId="77777777" w:rsidTr="00D81E7E">
        <w:tc>
          <w:tcPr>
            <w:cnfStyle w:val="001000000000" w:firstRow="0" w:lastRow="0" w:firstColumn="1" w:lastColumn="0" w:oddVBand="0" w:evenVBand="0" w:oddHBand="0" w:evenHBand="0" w:firstRowFirstColumn="0" w:firstRowLastColumn="0" w:lastRowFirstColumn="0" w:lastRowLastColumn="0"/>
            <w:tcW w:w="840" w:type="dxa"/>
          </w:tcPr>
          <w:p w14:paraId="0F45924E" w14:textId="77777777" w:rsidR="00133BF8" w:rsidRPr="002A1C7C" w:rsidRDefault="00133BF8" w:rsidP="002A1C7C">
            <w:pPr>
              <w:pStyle w:val="Table-Body-leftaligned"/>
              <w:rPr>
                <w:b w:val="0"/>
                <w:bCs/>
              </w:rPr>
            </w:pPr>
            <w:r w:rsidRPr="00584811">
              <w:rPr>
                <w:bCs/>
              </w:rPr>
              <w:t>1</w:t>
            </w:r>
          </w:p>
        </w:tc>
        <w:tc>
          <w:tcPr>
            <w:tcW w:w="3550" w:type="dxa"/>
          </w:tcPr>
          <w:p w14:paraId="7B0A75E7" w14:textId="77777777" w:rsidR="00133BF8" w:rsidRPr="00FC2222" w:rsidRDefault="00133BF8"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Somewhat interpretable by farmers</w:t>
            </w:r>
          </w:p>
        </w:tc>
        <w:tc>
          <w:tcPr>
            <w:tcW w:w="4670" w:type="dxa"/>
          </w:tcPr>
          <w:p w14:paraId="5B5A0844" w14:textId="77777777" w:rsidR="00133BF8" w:rsidRPr="00FC2222" w:rsidRDefault="00133BF8"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Results show that some participants know enough about this indicator to include</w:t>
            </w:r>
          </w:p>
        </w:tc>
      </w:tr>
      <w:tr w:rsidR="00133BF8" w:rsidRPr="00EB1D71" w14:paraId="702380FA" w14:textId="77777777" w:rsidTr="00D81E7E">
        <w:tc>
          <w:tcPr>
            <w:cnfStyle w:val="001000000000" w:firstRow="0" w:lastRow="0" w:firstColumn="1" w:lastColumn="0" w:oddVBand="0" w:evenVBand="0" w:oddHBand="0" w:evenHBand="0" w:firstRowFirstColumn="0" w:firstRowLastColumn="0" w:lastRowFirstColumn="0" w:lastRowLastColumn="0"/>
            <w:tcW w:w="840" w:type="dxa"/>
          </w:tcPr>
          <w:p w14:paraId="09D3764E" w14:textId="77777777" w:rsidR="00133BF8" w:rsidRPr="002A1C7C" w:rsidRDefault="00133BF8" w:rsidP="002A1C7C">
            <w:pPr>
              <w:pStyle w:val="Table-Body-leftaligned"/>
              <w:rPr>
                <w:b w:val="0"/>
                <w:bCs/>
              </w:rPr>
            </w:pPr>
            <w:r w:rsidRPr="00584811">
              <w:rPr>
                <w:bCs/>
              </w:rPr>
              <w:t>0</w:t>
            </w:r>
          </w:p>
        </w:tc>
        <w:tc>
          <w:tcPr>
            <w:tcW w:w="3550" w:type="dxa"/>
          </w:tcPr>
          <w:p w14:paraId="106E5525" w14:textId="77777777" w:rsidR="00133BF8" w:rsidRPr="00FC2222" w:rsidRDefault="00133BF8"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Currently uninterpretable by farmers</w:t>
            </w:r>
          </w:p>
        </w:tc>
        <w:tc>
          <w:tcPr>
            <w:tcW w:w="4670" w:type="dxa"/>
          </w:tcPr>
          <w:p w14:paraId="73C538DE" w14:textId="77777777" w:rsidR="00133BF8" w:rsidRPr="00FC2222" w:rsidRDefault="00133BF8"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Results show that majority of participants do not know enough about this indicator</w:t>
            </w:r>
          </w:p>
        </w:tc>
      </w:tr>
    </w:tbl>
    <w:p w14:paraId="11D1DED4" w14:textId="77777777" w:rsidR="00FE2E5D" w:rsidRPr="00EB1D71" w:rsidRDefault="00FE2E5D">
      <w:pPr>
        <w:spacing w:line="278" w:lineRule="auto"/>
        <w:rPr>
          <w:rFonts w:asciiTheme="minorHAnsi" w:hAnsiTheme="minorHAnsi" w:cstheme="minorHAnsi"/>
        </w:rPr>
      </w:pPr>
    </w:p>
    <w:p w14:paraId="4192569C" w14:textId="77777777" w:rsidR="00133BF8" w:rsidRPr="002A1C7C" w:rsidRDefault="00133BF8" w:rsidP="00133BF8">
      <w:pPr>
        <w:pStyle w:val="Heading4"/>
        <w:rPr>
          <w:rFonts w:asciiTheme="minorHAnsi" w:hAnsiTheme="minorHAnsi" w:cstheme="minorHAnsi"/>
          <w:color w:val="006197" w:themeColor="text1" w:themeShade="BF"/>
        </w:rPr>
      </w:pPr>
      <w:bookmarkStart w:id="28" w:name="_Toc228622078"/>
      <w:r w:rsidRPr="002A1C7C">
        <w:rPr>
          <w:rFonts w:asciiTheme="minorHAnsi" w:hAnsiTheme="minorHAnsi" w:cstheme="minorHAnsi"/>
          <w:color w:val="006197" w:themeColor="text1" w:themeShade="BF"/>
        </w:rPr>
        <w:t>Methods – Spatial variability/sampling intensity</w:t>
      </w:r>
      <w:bookmarkEnd w:id="28"/>
    </w:p>
    <w:p w14:paraId="2611790A" w14:textId="77777777" w:rsidR="00133BF8" w:rsidRPr="00EB1D71" w:rsidRDefault="00133BF8" w:rsidP="00762DC3">
      <w:pPr>
        <w:rPr>
          <w:rFonts w:asciiTheme="minorHAnsi" w:hAnsiTheme="minorHAnsi" w:cstheme="minorHAnsi"/>
        </w:rPr>
      </w:pPr>
      <w:r w:rsidRPr="00EB1D71">
        <w:rPr>
          <w:rFonts w:asciiTheme="minorHAnsi" w:hAnsiTheme="minorHAnsi" w:cstheme="minorHAnsi"/>
        </w:rPr>
        <w:t xml:space="preserve">Spatial variability and sampling intensity for each of the commercially available indicators was determined through a review of recommended number of samples required to give a representative field area from key UK laboratories or in the case of slake testing, from app protocols (Metric 1). These were: </w:t>
      </w:r>
    </w:p>
    <w:p w14:paraId="1C2EC7F7" w14:textId="27EE0E5A" w:rsidR="00133BF8" w:rsidRPr="00EB1D71" w:rsidRDefault="00133BF8" w:rsidP="00762DC3">
      <w:pPr>
        <w:pStyle w:val="ListParagraph"/>
        <w:numPr>
          <w:ilvl w:val="0"/>
          <w:numId w:val="14"/>
        </w:numPr>
        <w:spacing w:after="0" w:line="360" w:lineRule="auto"/>
        <w:ind w:left="714" w:hanging="357"/>
        <w:rPr>
          <w:rFonts w:asciiTheme="minorHAnsi" w:hAnsiTheme="minorHAnsi" w:cstheme="minorHAnsi"/>
        </w:rPr>
      </w:pPr>
      <w:r w:rsidRPr="00EB1D71">
        <w:rPr>
          <w:rFonts w:asciiTheme="minorHAnsi" w:hAnsiTheme="minorHAnsi" w:cstheme="minorHAnsi"/>
        </w:rPr>
        <w:t>NRM – Part of Cawood Scientific, NRM hosts the UK's largest agricultural soil testing facility, which states that it analyses over 450,000 soil samples every year (</w:t>
      </w:r>
      <w:hyperlink r:id="rId27" w:history="1">
        <w:r w:rsidRPr="00EB1D71">
          <w:rPr>
            <w:rStyle w:val="Normal-hyperlink-boldChar"/>
            <w:rFonts w:asciiTheme="minorHAnsi" w:hAnsiTheme="minorHAnsi" w:cstheme="minorHAnsi"/>
          </w:rPr>
          <w:t>https://cawood.co.uk/nrm/soil-analysis-nrm/</w:t>
        </w:r>
      </w:hyperlink>
      <w:r w:rsidRPr="00EB1D71">
        <w:rPr>
          <w:rFonts w:asciiTheme="minorHAnsi" w:hAnsiTheme="minorHAnsi" w:cstheme="minorHAnsi"/>
        </w:rPr>
        <w:t xml:space="preserve">).  </w:t>
      </w:r>
    </w:p>
    <w:p w14:paraId="49BA1F94" w14:textId="72A95C92" w:rsidR="00133BF8" w:rsidRPr="00EB1D71" w:rsidRDefault="00133BF8" w:rsidP="00762DC3">
      <w:pPr>
        <w:pStyle w:val="ListParagraph"/>
        <w:numPr>
          <w:ilvl w:val="0"/>
          <w:numId w:val="14"/>
        </w:numPr>
        <w:spacing w:after="0" w:line="360" w:lineRule="auto"/>
        <w:ind w:left="714" w:hanging="357"/>
        <w:rPr>
          <w:rFonts w:asciiTheme="minorHAnsi" w:hAnsiTheme="minorHAnsi" w:cstheme="minorHAnsi"/>
        </w:rPr>
      </w:pPr>
      <w:r w:rsidRPr="00EB1D71">
        <w:rPr>
          <w:rFonts w:asciiTheme="minorHAnsi" w:hAnsiTheme="minorHAnsi" w:cstheme="minorHAnsi"/>
        </w:rPr>
        <w:t xml:space="preserve">Yara – Trading as </w:t>
      </w:r>
      <w:proofErr w:type="spellStart"/>
      <w:r w:rsidRPr="00EB1D71">
        <w:rPr>
          <w:rFonts w:asciiTheme="minorHAnsi" w:hAnsiTheme="minorHAnsi" w:cstheme="minorHAnsi"/>
        </w:rPr>
        <w:t>Lancrop</w:t>
      </w:r>
      <w:proofErr w:type="spellEnd"/>
      <w:r w:rsidRPr="00EB1D71">
        <w:rPr>
          <w:rFonts w:asciiTheme="minorHAnsi" w:hAnsiTheme="minorHAnsi" w:cstheme="minorHAnsi"/>
        </w:rPr>
        <w:t xml:space="preserve"> Laboratories, Yara works across agricultural, horticultural, environmental and amenity sectors and reports that it performs over two million analyses annually on samples received worldwide, including the UK (</w:t>
      </w:r>
      <w:hyperlink r:id="rId28" w:history="1">
        <w:r w:rsidRPr="00EB1D71">
          <w:rPr>
            <w:rStyle w:val="Normal-hyperlink-boldChar"/>
            <w:rFonts w:asciiTheme="minorHAnsi" w:hAnsiTheme="minorHAnsi" w:cstheme="minorHAnsi"/>
          </w:rPr>
          <w:t>https://www.yara.co.uk/crop-nutrition/farmers-toolbox/analytical-services/soil-testing-and-analysis/</w:t>
        </w:r>
      </w:hyperlink>
      <w:r w:rsidRPr="00EB1D71">
        <w:rPr>
          <w:rFonts w:asciiTheme="minorHAnsi" w:hAnsiTheme="minorHAnsi" w:cstheme="minorHAnsi"/>
        </w:rPr>
        <w:t xml:space="preserve">).  </w:t>
      </w:r>
    </w:p>
    <w:p w14:paraId="045A4A3C" w14:textId="665150FC" w:rsidR="00133BF8" w:rsidRPr="00EB1D71" w:rsidRDefault="00133BF8" w:rsidP="00762DC3">
      <w:pPr>
        <w:pStyle w:val="ListParagraph"/>
        <w:numPr>
          <w:ilvl w:val="0"/>
          <w:numId w:val="14"/>
        </w:numPr>
        <w:spacing w:after="0" w:line="360" w:lineRule="auto"/>
        <w:ind w:left="714" w:hanging="357"/>
        <w:rPr>
          <w:rFonts w:asciiTheme="minorHAnsi" w:hAnsiTheme="minorHAnsi" w:cstheme="minorHAnsi"/>
        </w:rPr>
      </w:pPr>
      <w:r w:rsidRPr="00EB1D71">
        <w:rPr>
          <w:rFonts w:asciiTheme="minorHAnsi" w:hAnsiTheme="minorHAnsi" w:cstheme="minorHAnsi"/>
        </w:rPr>
        <w:t>Hill Court Research – In operation since 2003, Hill Court Research offers a range of agricultural analytical tests, including many soil nitrogen related analyses (</w:t>
      </w:r>
      <w:hyperlink r:id="rId29" w:history="1">
        <w:r w:rsidRPr="00EB1D71">
          <w:rPr>
            <w:rStyle w:val="Normal-hyperlink-boldChar"/>
            <w:rFonts w:asciiTheme="minorHAnsi" w:hAnsiTheme="minorHAnsi" w:cstheme="minorHAnsi"/>
          </w:rPr>
          <w:t>https://hillcourtresearch.co.uk/soil-testing-and-analysis/</w:t>
        </w:r>
      </w:hyperlink>
      <w:r w:rsidRPr="00EB1D71">
        <w:rPr>
          <w:rFonts w:asciiTheme="minorHAnsi" w:hAnsiTheme="minorHAnsi" w:cstheme="minorHAnsi"/>
        </w:rPr>
        <w:t xml:space="preserve">).   </w:t>
      </w:r>
    </w:p>
    <w:p w14:paraId="16DE8EA1" w14:textId="589CCECE" w:rsidR="00133BF8" w:rsidRPr="00EB1D71" w:rsidRDefault="00133BF8" w:rsidP="00762DC3">
      <w:pPr>
        <w:pStyle w:val="ListParagraph"/>
        <w:numPr>
          <w:ilvl w:val="0"/>
          <w:numId w:val="14"/>
        </w:numPr>
        <w:spacing w:after="0" w:line="360" w:lineRule="auto"/>
        <w:ind w:left="714" w:hanging="357"/>
        <w:rPr>
          <w:rFonts w:asciiTheme="minorHAnsi" w:hAnsiTheme="minorHAnsi" w:cstheme="minorHAnsi"/>
        </w:rPr>
      </w:pPr>
      <w:r w:rsidRPr="00EB1D71">
        <w:rPr>
          <w:rFonts w:asciiTheme="minorHAnsi" w:hAnsiTheme="minorHAnsi" w:cstheme="minorHAnsi"/>
        </w:rPr>
        <w:t xml:space="preserve">Eurofins – Consisting of a network of agricultural laboratories worldwide, Eurofins </w:t>
      </w:r>
      <w:proofErr w:type="spellStart"/>
      <w:r w:rsidRPr="00EB1D71">
        <w:rPr>
          <w:rFonts w:asciiTheme="minorHAnsi" w:hAnsiTheme="minorHAnsi" w:cstheme="minorHAnsi"/>
        </w:rPr>
        <w:t>Agro</w:t>
      </w:r>
      <w:proofErr w:type="spellEnd"/>
      <w:r w:rsidRPr="00EB1D71">
        <w:rPr>
          <w:rFonts w:asciiTheme="minorHAnsi" w:hAnsiTheme="minorHAnsi" w:cstheme="minorHAnsi"/>
        </w:rPr>
        <w:t xml:space="preserve"> focusses on soil, crop, water, compost and manure analysis, with the headquarters located in Wageningen (</w:t>
      </w:r>
      <w:hyperlink r:id="rId30" w:history="1">
        <w:r w:rsidRPr="00EB1D71">
          <w:rPr>
            <w:rStyle w:val="Normal-hyperlink-boldChar"/>
            <w:rFonts w:asciiTheme="minorHAnsi" w:hAnsiTheme="minorHAnsi" w:cstheme="minorHAnsi"/>
          </w:rPr>
          <w:t>https://www.eurofins-agro.com/en/soil-health-solutions</w:t>
        </w:r>
      </w:hyperlink>
      <w:r w:rsidRPr="00EB1D71">
        <w:rPr>
          <w:rFonts w:asciiTheme="minorHAnsi" w:hAnsiTheme="minorHAnsi" w:cstheme="minorHAnsi"/>
        </w:rPr>
        <w:t xml:space="preserve">).  </w:t>
      </w:r>
    </w:p>
    <w:p w14:paraId="4AC69C61" w14:textId="77777777" w:rsidR="00190DA9" w:rsidRDefault="00190DA9" w:rsidP="00762DC3">
      <w:pPr>
        <w:rPr>
          <w:rFonts w:asciiTheme="minorHAnsi" w:hAnsiTheme="minorHAnsi" w:cstheme="minorHAnsi"/>
        </w:rPr>
      </w:pPr>
    </w:p>
    <w:p w14:paraId="277D379E" w14:textId="079DC621" w:rsidR="00133BF8" w:rsidRDefault="00133BF8" w:rsidP="00762DC3">
      <w:pPr>
        <w:rPr>
          <w:rFonts w:asciiTheme="minorHAnsi" w:hAnsiTheme="minorHAnsi" w:cstheme="minorHAnsi"/>
        </w:rPr>
      </w:pPr>
      <w:r w:rsidRPr="00EB1D71">
        <w:rPr>
          <w:rFonts w:asciiTheme="minorHAnsi" w:hAnsiTheme="minorHAnsi" w:cstheme="minorHAnsi"/>
        </w:rPr>
        <w:t xml:space="preserve">Because not all shortlisted indicators were commercially available, it was not possible to assess the entire shortlist via Metric 1. </w:t>
      </w:r>
      <w:proofErr w:type="gramStart"/>
      <w:r w:rsidRPr="00EB1D71">
        <w:rPr>
          <w:rFonts w:asciiTheme="minorHAnsi" w:hAnsiTheme="minorHAnsi" w:cstheme="minorHAnsi"/>
        </w:rPr>
        <w:t>Therefore</w:t>
      </w:r>
      <w:proofErr w:type="gramEnd"/>
      <w:r w:rsidRPr="00EB1D71">
        <w:rPr>
          <w:rFonts w:asciiTheme="minorHAnsi" w:hAnsiTheme="minorHAnsi" w:cstheme="minorHAnsi"/>
        </w:rPr>
        <w:t xml:space="preserve"> the expert opinion in the project team was utilised to determine spatial sensitivity of the complete indicator shortlist (Metric 2). As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is currently only commercially available from ADAS, the spatial requirement was determined via expert consultation with Pete Berry, Charlotte White and Christina Baxter, ADAS Crop Physiology. The scoring rubric combined outcomes from both metrics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_Ref223945293 \h </w:instrText>
      </w:r>
      <w:r w:rsidR="00AB0486"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5</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xml:space="preserve">). </w:t>
      </w:r>
    </w:p>
    <w:p w14:paraId="5D2A185F" w14:textId="728840E2" w:rsidR="00762DC3" w:rsidRDefault="00190DA9" w:rsidP="00190DA9">
      <w:pPr>
        <w:rPr>
          <w:rFonts w:asciiTheme="minorHAnsi" w:hAnsiTheme="minorHAnsi" w:cstheme="minorHAnsi"/>
          <w:b/>
          <w:iCs/>
          <w:sz w:val="18"/>
          <w:szCs w:val="22"/>
        </w:rPr>
      </w:pPr>
      <w:r w:rsidRPr="00EB1D71">
        <w:rPr>
          <w:rFonts w:asciiTheme="minorHAnsi" w:hAnsiTheme="minorHAnsi" w:cstheme="minorHAnsi"/>
        </w:rPr>
        <w:t>Each score was averaged across metrics 1 and 2 for each indicator to give an overall score which incorporated both sampling requirements and anticipated spatial variability. Average scores were then incorporated into the main logical sieve</w:t>
      </w:r>
      <w:r>
        <w:rPr>
          <w:rFonts w:asciiTheme="minorHAnsi" w:hAnsiTheme="minorHAnsi" w:cstheme="minorHAnsi"/>
        </w:rPr>
        <w:t>.</w:t>
      </w:r>
      <w:bookmarkStart w:id="29" w:name="_Ref223945293"/>
      <w:bookmarkStart w:id="30" w:name="_Toc228622111"/>
      <w:r w:rsidR="00762DC3">
        <w:rPr>
          <w:rFonts w:asciiTheme="minorHAnsi" w:hAnsiTheme="minorHAnsi" w:cstheme="minorHAnsi"/>
          <w:szCs w:val="22"/>
        </w:rPr>
        <w:br w:type="page"/>
      </w:r>
    </w:p>
    <w:p w14:paraId="286A7DA1" w14:textId="1C199E96" w:rsidR="00133BF8" w:rsidRPr="00EB1D71" w:rsidRDefault="00133BF8" w:rsidP="00133BF8">
      <w:pPr>
        <w:pStyle w:val="Caption"/>
        <w:keepNext/>
        <w:spacing w:after="0"/>
        <w:rPr>
          <w:rFonts w:asciiTheme="minorHAnsi" w:hAnsiTheme="minorHAnsi" w:cstheme="minorHAnsi"/>
          <w:szCs w:val="22"/>
        </w:rPr>
      </w:pPr>
      <w:r w:rsidRPr="00EB1D71">
        <w:rPr>
          <w:rFonts w:asciiTheme="minorHAnsi" w:hAnsiTheme="minorHAnsi" w:cstheme="minorHAnsi"/>
          <w:szCs w:val="22"/>
        </w:rPr>
        <w:lastRenderedPageBreak/>
        <w:t xml:space="preserve">Table </w:t>
      </w:r>
      <w:r w:rsidRPr="00EB1D71">
        <w:rPr>
          <w:rFonts w:asciiTheme="minorHAnsi" w:hAnsiTheme="minorHAnsi" w:cstheme="minorHAnsi"/>
          <w:szCs w:val="22"/>
        </w:rPr>
        <w:fldChar w:fldCharType="begin"/>
      </w:r>
      <w:r w:rsidRPr="00EB1D71">
        <w:rPr>
          <w:rFonts w:asciiTheme="minorHAnsi" w:hAnsiTheme="minorHAnsi" w:cstheme="minorHAnsi"/>
          <w:szCs w:val="22"/>
        </w:rPr>
        <w:instrText xml:space="preserve"> SEQ Table \* ARABIC </w:instrText>
      </w:r>
      <w:r w:rsidRPr="00EB1D71">
        <w:rPr>
          <w:rFonts w:asciiTheme="minorHAnsi" w:hAnsiTheme="minorHAnsi" w:cstheme="minorHAnsi"/>
          <w:szCs w:val="22"/>
        </w:rPr>
        <w:fldChar w:fldCharType="separate"/>
      </w:r>
      <w:r w:rsidR="00C400DA">
        <w:rPr>
          <w:rFonts w:asciiTheme="minorHAnsi" w:hAnsiTheme="minorHAnsi" w:cstheme="minorHAnsi"/>
          <w:noProof/>
          <w:szCs w:val="22"/>
        </w:rPr>
        <w:t>5</w:t>
      </w:r>
      <w:r w:rsidRPr="00EB1D71">
        <w:rPr>
          <w:rFonts w:asciiTheme="minorHAnsi" w:hAnsiTheme="minorHAnsi" w:cstheme="minorHAnsi"/>
          <w:szCs w:val="22"/>
        </w:rPr>
        <w:fldChar w:fldCharType="end"/>
      </w:r>
      <w:bookmarkEnd w:id="29"/>
      <w:r w:rsidRPr="00EB1D71">
        <w:rPr>
          <w:rFonts w:asciiTheme="minorHAnsi" w:hAnsiTheme="minorHAnsi" w:cstheme="minorHAnsi"/>
          <w:szCs w:val="22"/>
        </w:rPr>
        <w:t>. Rubric used to score each indicator and method in terms of spatial variability.</w:t>
      </w:r>
      <w:bookmarkEnd w:id="30"/>
      <w:r w:rsidR="007F56B5" w:rsidRPr="00EB1D71">
        <w:rPr>
          <w:rFonts w:asciiTheme="minorHAnsi" w:hAnsiTheme="minorHAnsi" w:cstheme="minorHAnsi"/>
          <w:szCs w:val="22"/>
        </w:rPr>
        <w:t xml:space="preserve"> Table </w:t>
      </w:r>
      <w:r w:rsidR="00782773" w:rsidRPr="00EB1D71">
        <w:rPr>
          <w:rFonts w:asciiTheme="minorHAnsi" w:hAnsiTheme="minorHAnsi" w:cstheme="minorHAnsi"/>
          <w:szCs w:val="22"/>
        </w:rPr>
        <w:t>‘</w:t>
      </w:r>
      <w:r w:rsidR="007F56B5" w:rsidRPr="00EB1D71">
        <w:rPr>
          <w:rFonts w:asciiTheme="minorHAnsi" w:hAnsiTheme="minorHAnsi" w:cstheme="minorHAnsi"/>
          <w:szCs w:val="22"/>
        </w:rPr>
        <w:t>a</w:t>
      </w:r>
      <w:r w:rsidR="00782773" w:rsidRPr="00EB1D71">
        <w:rPr>
          <w:rFonts w:asciiTheme="minorHAnsi" w:hAnsiTheme="minorHAnsi" w:cstheme="minorHAnsi"/>
          <w:szCs w:val="22"/>
        </w:rPr>
        <w:t>’</w:t>
      </w:r>
      <w:r w:rsidR="007F56B5" w:rsidRPr="00EB1D71">
        <w:rPr>
          <w:rFonts w:asciiTheme="minorHAnsi" w:hAnsiTheme="minorHAnsi" w:cstheme="minorHAnsi"/>
          <w:szCs w:val="22"/>
        </w:rPr>
        <w:t xml:space="preserve"> shows scores based on commercial protocol and Table </w:t>
      </w:r>
      <w:r w:rsidR="00782773" w:rsidRPr="00EB1D71">
        <w:rPr>
          <w:rFonts w:asciiTheme="minorHAnsi" w:hAnsiTheme="minorHAnsi" w:cstheme="minorHAnsi"/>
          <w:szCs w:val="22"/>
        </w:rPr>
        <w:t>‘</w:t>
      </w:r>
      <w:r w:rsidR="007F56B5" w:rsidRPr="00EB1D71">
        <w:rPr>
          <w:rFonts w:asciiTheme="minorHAnsi" w:hAnsiTheme="minorHAnsi" w:cstheme="minorHAnsi"/>
          <w:szCs w:val="22"/>
        </w:rPr>
        <w:t>b</w:t>
      </w:r>
      <w:r w:rsidR="00782773" w:rsidRPr="00EB1D71">
        <w:rPr>
          <w:rFonts w:asciiTheme="minorHAnsi" w:hAnsiTheme="minorHAnsi" w:cstheme="minorHAnsi"/>
          <w:szCs w:val="22"/>
        </w:rPr>
        <w:t>’ shows scores</w:t>
      </w:r>
      <w:r w:rsidR="007F56B5" w:rsidRPr="00EB1D71">
        <w:rPr>
          <w:rFonts w:asciiTheme="minorHAnsi" w:hAnsiTheme="minorHAnsi" w:cstheme="minorHAnsi"/>
          <w:szCs w:val="22"/>
        </w:rPr>
        <w:t xml:space="preserve"> based on expert opinion.</w:t>
      </w:r>
    </w:p>
    <w:p w14:paraId="29B437CE" w14:textId="102D7292" w:rsidR="00735BB6" w:rsidRPr="00EB1D71" w:rsidRDefault="009C7929" w:rsidP="009C7929">
      <w:pPr>
        <w:pStyle w:val="Caption"/>
        <w:numPr>
          <w:ilvl w:val="0"/>
          <w:numId w:val="24"/>
        </w:numPr>
        <w:rPr>
          <w:rFonts w:asciiTheme="minorHAnsi" w:hAnsiTheme="minorHAnsi" w:cstheme="minorHAnsi"/>
        </w:rPr>
      </w:pPr>
      <w:r w:rsidRPr="00EB1D71">
        <w:rPr>
          <w:rFonts w:asciiTheme="minorHAnsi" w:hAnsiTheme="minorHAnsi" w:cstheme="minorHAnsi"/>
        </w:rPr>
        <w:t>Commercial protocol</w:t>
      </w:r>
      <w:r w:rsidR="002C1CD6" w:rsidRPr="00EB1D71">
        <w:rPr>
          <w:rFonts w:asciiTheme="minorHAnsi" w:hAnsiTheme="minorHAnsi" w:cstheme="minorHAnsi"/>
        </w:rPr>
        <w:t xml:space="preserve"> (Metric 1)</w:t>
      </w:r>
    </w:p>
    <w:tbl>
      <w:tblPr>
        <w:tblStyle w:val="TableGrid"/>
        <w:tblW w:w="0" w:type="auto"/>
        <w:tblLook w:val="04A0" w:firstRow="1" w:lastRow="0" w:firstColumn="1" w:lastColumn="0" w:noHBand="0" w:noVBand="1"/>
      </w:tblPr>
      <w:tblGrid>
        <w:gridCol w:w="1235"/>
        <w:gridCol w:w="3385"/>
        <w:gridCol w:w="4440"/>
      </w:tblGrid>
      <w:tr w:rsidR="00133BF8" w:rsidRPr="00EB1D71" w14:paraId="1C49B65D" w14:textId="77777777" w:rsidTr="00735B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5" w:type="dxa"/>
          </w:tcPr>
          <w:p w14:paraId="18626128" w14:textId="77777777" w:rsidR="00133BF8" w:rsidRPr="00B22117" w:rsidRDefault="00133BF8" w:rsidP="002A1C7C">
            <w:pPr>
              <w:pStyle w:val="TableHeading-centred-bold"/>
            </w:pPr>
            <w:r w:rsidRPr="002A1C7C">
              <w:rPr>
                <w:b/>
              </w:rPr>
              <w:t>Score</w:t>
            </w:r>
          </w:p>
        </w:tc>
        <w:tc>
          <w:tcPr>
            <w:tcW w:w="3385" w:type="dxa"/>
          </w:tcPr>
          <w:p w14:paraId="113602F1" w14:textId="77777777" w:rsidR="00133BF8" w:rsidRPr="00B22117" w:rsidRDefault="00133BF8" w:rsidP="002A1C7C">
            <w:pPr>
              <w:pStyle w:val="TableHeading-centred-bold"/>
              <w:cnfStyle w:val="100000000000" w:firstRow="1" w:lastRow="0" w:firstColumn="0" w:lastColumn="0" w:oddVBand="0" w:evenVBand="0" w:oddHBand="0" w:evenHBand="0" w:firstRowFirstColumn="0" w:firstRowLastColumn="0" w:lastRowFirstColumn="0" w:lastRowLastColumn="0"/>
            </w:pPr>
            <w:r w:rsidRPr="002A1C7C">
              <w:rPr>
                <w:b/>
              </w:rPr>
              <w:t>Summary</w:t>
            </w:r>
          </w:p>
        </w:tc>
        <w:tc>
          <w:tcPr>
            <w:tcW w:w="4440" w:type="dxa"/>
          </w:tcPr>
          <w:p w14:paraId="601B8EFF" w14:textId="77777777" w:rsidR="00133BF8" w:rsidRPr="00B22117" w:rsidRDefault="00133BF8" w:rsidP="002A1C7C">
            <w:pPr>
              <w:pStyle w:val="TableHeading-centred-bold"/>
              <w:cnfStyle w:val="100000000000" w:firstRow="1" w:lastRow="0" w:firstColumn="0" w:lastColumn="0" w:oddVBand="0" w:evenVBand="0" w:oddHBand="0" w:evenHBand="0" w:firstRowFirstColumn="0" w:firstRowLastColumn="0" w:lastRowFirstColumn="0" w:lastRowLastColumn="0"/>
            </w:pPr>
            <w:r w:rsidRPr="002A1C7C">
              <w:rPr>
                <w:b/>
              </w:rPr>
              <w:t>Description</w:t>
            </w:r>
          </w:p>
        </w:tc>
      </w:tr>
      <w:tr w:rsidR="00133BF8" w:rsidRPr="00EB1D71" w14:paraId="68D88AE7" w14:textId="77777777" w:rsidTr="00735BB6">
        <w:tc>
          <w:tcPr>
            <w:cnfStyle w:val="001000000000" w:firstRow="0" w:lastRow="0" w:firstColumn="1" w:lastColumn="0" w:oddVBand="0" w:evenVBand="0" w:oddHBand="0" w:evenHBand="0" w:firstRowFirstColumn="0" w:firstRowLastColumn="0" w:lastRowFirstColumn="0" w:lastRowLastColumn="0"/>
            <w:tcW w:w="1235" w:type="dxa"/>
          </w:tcPr>
          <w:p w14:paraId="176D36F9" w14:textId="77777777" w:rsidR="00133BF8" w:rsidRPr="002A1C7C" w:rsidRDefault="00133BF8" w:rsidP="002A1C7C">
            <w:pPr>
              <w:pStyle w:val="Table-Body-leftaligned"/>
              <w:rPr>
                <w:b w:val="0"/>
                <w:bCs/>
              </w:rPr>
            </w:pPr>
            <w:r w:rsidRPr="00584811">
              <w:rPr>
                <w:bCs/>
              </w:rPr>
              <w:t>2</w:t>
            </w:r>
          </w:p>
        </w:tc>
        <w:tc>
          <w:tcPr>
            <w:tcW w:w="3385" w:type="dxa"/>
          </w:tcPr>
          <w:p w14:paraId="53E2A887" w14:textId="77777777" w:rsidR="00133BF8" w:rsidRPr="00FC2222" w:rsidRDefault="00133BF8"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Few samples needed</w:t>
            </w:r>
          </w:p>
        </w:tc>
        <w:tc>
          <w:tcPr>
            <w:tcW w:w="4440" w:type="dxa"/>
          </w:tcPr>
          <w:p w14:paraId="3968141E" w14:textId="77777777" w:rsidR="00133BF8" w:rsidRPr="00FC2222" w:rsidRDefault="00133BF8"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1 - 5 samples per field recommended</w:t>
            </w:r>
          </w:p>
        </w:tc>
      </w:tr>
      <w:tr w:rsidR="00133BF8" w:rsidRPr="00EB1D71" w14:paraId="64D4162D" w14:textId="77777777" w:rsidTr="00735BB6">
        <w:tc>
          <w:tcPr>
            <w:cnfStyle w:val="001000000000" w:firstRow="0" w:lastRow="0" w:firstColumn="1" w:lastColumn="0" w:oddVBand="0" w:evenVBand="0" w:oddHBand="0" w:evenHBand="0" w:firstRowFirstColumn="0" w:firstRowLastColumn="0" w:lastRowFirstColumn="0" w:lastRowLastColumn="0"/>
            <w:tcW w:w="1235" w:type="dxa"/>
          </w:tcPr>
          <w:p w14:paraId="5655AF1C" w14:textId="77777777" w:rsidR="00133BF8" w:rsidRPr="002A1C7C" w:rsidRDefault="00133BF8" w:rsidP="002A1C7C">
            <w:pPr>
              <w:pStyle w:val="Table-Body-leftaligned"/>
              <w:rPr>
                <w:b w:val="0"/>
                <w:bCs/>
              </w:rPr>
            </w:pPr>
            <w:r w:rsidRPr="00584811">
              <w:rPr>
                <w:bCs/>
              </w:rPr>
              <w:t>1</w:t>
            </w:r>
          </w:p>
        </w:tc>
        <w:tc>
          <w:tcPr>
            <w:tcW w:w="3385" w:type="dxa"/>
          </w:tcPr>
          <w:p w14:paraId="302BB44B" w14:textId="77777777" w:rsidR="00133BF8" w:rsidRPr="00FC2222" w:rsidRDefault="00133BF8"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Standard samples needed</w:t>
            </w:r>
          </w:p>
        </w:tc>
        <w:tc>
          <w:tcPr>
            <w:tcW w:w="4440" w:type="dxa"/>
          </w:tcPr>
          <w:p w14:paraId="17B06309" w14:textId="77777777" w:rsidR="00133BF8" w:rsidRPr="00FC2222" w:rsidRDefault="00133BF8"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5 - 20 samples per field recommended</w:t>
            </w:r>
          </w:p>
        </w:tc>
      </w:tr>
      <w:tr w:rsidR="00133BF8" w:rsidRPr="00EB1D71" w14:paraId="5CDC2B67" w14:textId="77777777" w:rsidTr="002A1C7C">
        <w:trPr>
          <w:trHeight w:val="70"/>
        </w:trPr>
        <w:tc>
          <w:tcPr>
            <w:cnfStyle w:val="001000000000" w:firstRow="0" w:lastRow="0" w:firstColumn="1" w:lastColumn="0" w:oddVBand="0" w:evenVBand="0" w:oddHBand="0" w:evenHBand="0" w:firstRowFirstColumn="0" w:firstRowLastColumn="0" w:lastRowFirstColumn="0" w:lastRowLastColumn="0"/>
            <w:tcW w:w="1235" w:type="dxa"/>
          </w:tcPr>
          <w:p w14:paraId="3763A83F" w14:textId="77777777" w:rsidR="00133BF8" w:rsidRPr="002A1C7C" w:rsidRDefault="00133BF8" w:rsidP="002A1C7C">
            <w:pPr>
              <w:pStyle w:val="Table-Body-leftaligned"/>
              <w:rPr>
                <w:b w:val="0"/>
                <w:bCs/>
              </w:rPr>
            </w:pPr>
            <w:r w:rsidRPr="00584811">
              <w:rPr>
                <w:bCs/>
              </w:rPr>
              <w:t>0</w:t>
            </w:r>
          </w:p>
        </w:tc>
        <w:tc>
          <w:tcPr>
            <w:tcW w:w="3385" w:type="dxa"/>
          </w:tcPr>
          <w:p w14:paraId="053A41F2" w14:textId="77777777" w:rsidR="00133BF8" w:rsidRPr="00FC2222" w:rsidRDefault="00133BF8"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Many samples needed</w:t>
            </w:r>
          </w:p>
        </w:tc>
        <w:tc>
          <w:tcPr>
            <w:tcW w:w="4440" w:type="dxa"/>
          </w:tcPr>
          <w:p w14:paraId="27009837" w14:textId="77777777" w:rsidR="00133BF8" w:rsidRPr="00FC2222" w:rsidRDefault="00133BF8"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&gt;20 samples per field recommended</w:t>
            </w:r>
          </w:p>
        </w:tc>
      </w:tr>
    </w:tbl>
    <w:p w14:paraId="6E9ED6EA" w14:textId="090CA236" w:rsidR="00735BB6" w:rsidRPr="00EB1D71" w:rsidRDefault="009C7929" w:rsidP="009C7929">
      <w:pPr>
        <w:pStyle w:val="Caption"/>
        <w:numPr>
          <w:ilvl w:val="0"/>
          <w:numId w:val="24"/>
        </w:numPr>
        <w:rPr>
          <w:rFonts w:asciiTheme="minorHAnsi" w:hAnsiTheme="minorHAnsi" w:cstheme="minorHAnsi"/>
        </w:rPr>
      </w:pPr>
      <w:r w:rsidRPr="00EB1D71">
        <w:rPr>
          <w:rFonts w:asciiTheme="minorHAnsi" w:hAnsiTheme="minorHAnsi" w:cstheme="minorHAnsi"/>
        </w:rPr>
        <w:t>Expert opinion</w:t>
      </w:r>
      <w:r w:rsidR="002C1CD6" w:rsidRPr="00EB1D71">
        <w:rPr>
          <w:rFonts w:asciiTheme="minorHAnsi" w:hAnsiTheme="minorHAnsi" w:cstheme="minorHAnsi"/>
        </w:rPr>
        <w:t xml:space="preserve"> (Metric 2)</w:t>
      </w:r>
    </w:p>
    <w:tbl>
      <w:tblPr>
        <w:tblStyle w:val="TableGrid"/>
        <w:tblW w:w="0" w:type="auto"/>
        <w:tblLook w:val="04A0" w:firstRow="1" w:lastRow="0" w:firstColumn="1" w:lastColumn="0" w:noHBand="0" w:noVBand="1"/>
      </w:tblPr>
      <w:tblGrid>
        <w:gridCol w:w="1235"/>
        <w:gridCol w:w="3385"/>
        <w:gridCol w:w="4440"/>
      </w:tblGrid>
      <w:tr w:rsidR="00735BB6" w:rsidRPr="00EB1D71" w14:paraId="335A3CF4" w14:textId="77777777" w:rsidTr="00C404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5" w:type="dxa"/>
          </w:tcPr>
          <w:p w14:paraId="199D525F" w14:textId="77777777" w:rsidR="00735BB6" w:rsidRPr="00B22117" w:rsidRDefault="00735BB6" w:rsidP="002A1C7C">
            <w:pPr>
              <w:pStyle w:val="TableHeading-centred-bold"/>
            </w:pPr>
            <w:r w:rsidRPr="002A1C7C">
              <w:rPr>
                <w:b/>
              </w:rPr>
              <w:t>Score</w:t>
            </w:r>
          </w:p>
        </w:tc>
        <w:tc>
          <w:tcPr>
            <w:tcW w:w="3385" w:type="dxa"/>
          </w:tcPr>
          <w:p w14:paraId="436DB4E4" w14:textId="77777777" w:rsidR="00735BB6" w:rsidRPr="00B22117" w:rsidRDefault="00735BB6" w:rsidP="002A1C7C">
            <w:pPr>
              <w:pStyle w:val="TableHeading-centred-bold"/>
              <w:cnfStyle w:val="100000000000" w:firstRow="1" w:lastRow="0" w:firstColumn="0" w:lastColumn="0" w:oddVBand="0" w:evenVBand="0" w:oddHBand="0" w:evenHBand="0" w:firstRowFirstColumn="0" w:firstRowLastColumn="0" w:lastRowFirstColumn="0" w:lastRowLastColumn="0"/>
            </w:pPr>
            <w:r w:rsidRPr="002A1C7C">
              <w:rPr>
                <w:b/>
              </w:rPr>
              <w:t>Summary</w:t>
            </w:r>
          </w:p>
        </w:tc>
        <w:tc>
          <w:tcPr>
            <w:tcW w:w="4440" w:type="dxa"/>
          </w:tcPr>
          <w:p w14:paraId="62C17960" w14:textId="77777777" w:rsidR="00735BB6" w:rsidRPr="00B22117" w:rsidRDefault="00735BB6" w:rsidP="002A1C7C">
            <w:pPr>
              <w:pStyle w:val="TableHeading-centred-bold"/>
              <w:cnfStyle w:val="100000000000" w:firstRow="1" w:lastRow="0" w:firstColumn="0" w:lastColumn="0" w:oddVBand="0" w:evenVBand="0" w:oddHBand="0" w:evenHBand="0" w:firstRowFirstColumn="0" w:firstRowLastColumn="0" w:lastRowFirstColumn="0" w:lastRowLastColumn="0"/>
            </w:pPr>
            <w:r w:rsidRPr="002A1C7C">
              <w:rPr>
                <w:b/>
              </w:rPr>
              <w:t>Description</w:t>
            </w:r>
          </w:p>
        </w:tc>
      </w:tr>
      <w:tr w:rsidR="00735BB6" w:rsidRPr="00EB1D71" w14:paraId="5A910F69" w14:textId="77777777" w:rsidTr="00C4041A">
        <w:tc>
          <w:tcPr>
            <w:cnfStyle w:val="001000000000" w:firstRow="0" w:lastRow="0" w:firstColumn="1" w:lastColumn="0" w:oddVBand="0" w:evenVBand="0" w:oddHBand="0" w:evenHBand="0" w:firstRowFirstColumn="0" w:firstRowLastColumn="0" w:lastRowFirstColumn="0" w:lastRowLastColumn="0"/>
            <w:tcW w:w="1235" w:type="dxa"/>
          </w:tcPr>
          <w:p w14:paraId="03F12FFA" w14:textId="77777777" w:rsidR="00735BB6" w:rsidRPr="00FC2222" w:rsidRDefault="00735BB6" w:rsidP="002A1C7C">
            <w:pPr>
              <w:pStyle w:val="Table-Body-leftaligned"/>
              <w:rPr>
                <w:b w:val="0"/>
                <w:bCs/>
              </w:rPr>
            </w:pPr>
            <w:r w:rsidRPr="00584811">
              <w:rPr>
                <w:bCs/>
              </w:rPr>
              <w:t>2</w:t>
            </w:r>
          </w:p>
        </w:tc>
        <w:tc>
          <w:tcPr>
            <w:tcW w:w="3385" w:type="dxa"/>
          </w:tcPr>
          <w:p w14:paraId="56CA2E4F" w14:textId="77777777" w:rsidR="00735BB6" w:rsidRPr="00FC2222" w:rsidRDefault="00735BB6"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Low expected spatial variability</w:t>
            </w:r>
          </w:p>
        </w:tc>
        <w:tc>
          <w:tcPr>
            <w:tcW w:w="4440" w:type="dxa"/>
          </w:tcPr>
          <w:p w14:paraId="255F7826" w14:textId="77777777" w:rsidR="00735BB6" w:rsidRPr="00FC2222" w:rsidRDefault="00735BB6"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Property measured in a lab and a composite sample from the field representative of a management unit is recommended.</w:t>
            </w:r>
          </w:p>
        </w:tc>
      </w:tr>
      <w:tr w:rsidR="00735BB6" w:rsidRPr="00EB1D71" w14:paraId="37A6A5C7" w14:textId="77777777" w:rsidTr="00C4041A">
        <w:tc>
          <w:tcPr>
            <w:cnfStyle w:val="001000000000" w:firstRow="0" w:lastRow="0" w:firstColumn="1" w:lastColumn="0" w:oddVBand="0" w:evenVBand="0" w:oddHBand="0" w:evenHBand="0" w:firstRowFirstColumn="0" w:firstRowLastColumn="0" w:lastRowFirstColumn="0" w:lastRowLastColumn="0"/>
            <w:tcW w:w="1235" w:type="dxa"/>
          </w:tcPr>
          <w:p w14:paraId="0A092589" w14:textId="77777777" w:rsidR="00735BB6" w:rsidRPr="00FC2222" w:rsidRDefault="00735BB6" w:rsidP="002A1C7C">
            <w:pPr>
              <w:pStyle w:val="Table-Body-leftaligned"/>
              <w:rPr>
                <w:b w:val="0"/>
                <w:bCs/>
              </w:rPr>
            </w:pPr>
            <w:r w:rsidRPr="00584811">
              <w:rPr>
                <w:bCs/>
              </w:rPr>
              <w:t>1</w:t>
            </w:r>
          </w:p>
        </w:tc>
        <w:tc>
          <w:tcPr>
            <w:tcW w:w="3385" w:type="dxa"/>
          </w:tcPr>
          <w:p w14:paraId="1BF1ABF3" w14:textId="77777777" w:rsidR="00735BB6" w:rsidRPr="00FC2222" w:rsidRDefault="00735BB6"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Medium expected spatial variability</w:t>
            </w:r>
          </w:p>
        </w:tc>
        <w:tc>
          <w:tcPr>
            <w:tcW w:w="4440" w:type="dxa"/>
          </w:tcPr>
          <w:p w14:paraId="215E3F14" w14:textId="77777777" w:rsidR="00735BB6" w:rsidRPr="00FC2222" w:rsidRDefault="00735BB6"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Property measured in situ and may require several measures in the field; not likely to be highly spatially variable (5-20 samples/field)</w:t>
            </w:r>
          </w:p>
        </w:tc>
      </w:tr>
      <w:tr w:rsidR="00735BB6" w:rsidRPr="00EB1D71" w14:paraId="06C809C9" w14:textId="77777777" w:rsidTr="00C4041A">
        <w:tc>
          <w:tcPr>
            <w:cnfStyle w:val="001000000000" w:firstRow="0" w:lastRow="0" w:firstColumn="1" w:lastColumn="0" w:oddVBand="0" w:evenVBand="0" w:oddHBand="0" w:evenHBand="0" w:firstRowFirstColumn="0" w:firstRowLastColumn="0" w:lastRowFirstColumn="0" w:lastRowLastColumn="0"/>
            <w:tcW w:w="1235" w:type="dxa"/>
          </w:tcPr>
          <w:p w14:paraId="0F329006" w14:textId="77777777" w:rsidR="00735BB6" w:rsidRPr="00FC2222" w:rsidRDefault="00735BB6" w:rsidP="002A1C7C">
            <w:pPr>
              <w:pStyle w:val="Table-Body-leftaligned"/>
              <w:rPr>
                <w:b w:val="0"/>
                <w:bCs/>
              </w:rPr>
            </w:pPr>
            <w:r w:rsidRPr="00584811">
              <w:rPr>
                <w:bCs/>
              </w:rPr>
              <w:t>0</w:t>
            </w:r>
          </w:p>
        </w:tc>
        <w:tc>
          <w:tcPr>
            <w:tcW w:w="3385" w:type="dxa"/>
          </w:tcPr>
          <w:p w14:paraId="21CBE9A8" w14:textId="77777777" w:rsidR="00735BB6" w:rsidRPr="00FC2222" w:rsidRDefault="00735BB6"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High expected spatial variability</w:t>
            </w:r>
          </w:p>
        </w:tc>
        <w:tc>
          <w:tcPr>
            <w:tcW w:w="4440" w:type="dxa"/>
          </w:tcPr>
          <w:p w14:paraId="26CFA3B4" w14:textId="77777777" w:rsidR="00735BB6" w:rsidRPr="00FC2222" w:rsidRDefault="00735BB6"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Property measured in the field and expected to be highly spatially variable. (&gt;20 samples per field)</w:t>
            </w:r>
          </w:p>
        </w:tc>
      </w:tr>
    </w:tbl>
    <w:p w14:paraId="1193B515" w14:textId="77777777" w:rsidR="00735BB6" w:rsidRPr="00EB1D71" w:rsidRDefault="00735BB6">
      <w:pPr>
        <w:spacing w:line="278" w:lineRule="auto"/>
        <w:rPr>
          <w:rFonts w:asciiTheme="minorHAnsi" w:hAnsiTheme="minorHAnsi" w:cstheme="minorHAnsi"/>
        </w:rPr>
      </w:pPr>
    </w:p>
    <w:p w14:paraId="24D22759" w14:textId="77777777" w:rsidR="00F26C20" w:rsidRPr="002A1C7C" w:rsidRDefault="00F26C20" w:rsidP="00F26C20">
      <w:pPr>
        <w:pStyle w:val="Heading4"/>
        <w:rPr>
          <w:rFonts w:asciiTheme="minorHAnsi" w:hAnsiTheme="minorHAnsi" w:cstheme="minorHAnsi"/>
          <w:color w:val="006197" w:themeColor="text1" w:themeShade="BF"/>
        </w:rPr>
      </w:pPr>
      <w:bookmarkStart w:id="31" w:name="_Toc228622079"/>
      <w:r w:rsidRPr="002A1C7C">
        <w:rPr>
          <w:rFonts w:asciiTheme="minorHAnsi" w:hAnsiTheme="minorHAnsi" w:cstheme="minorHAnsi"/>
          <w:color w:val="006197" w:themeColor="text1" w:themeShade="BF"/>
        </w:rPr>
        <w:t>Methods – Analytical costs</w:t>
      </w:r>
      <w:bookmarkEnd w:id="31"/>
    </w:p>
    <w:p w14:paraId="2D3C4C09" w14:textId="49BBA7E3" w:rsidR="00F26C20" w:rsidRPr="00EB1D71" w:rsidRDefault="00F26C20" w:rsidP="00037333">
      <w:pPr>
        <w:rPr>
          <w:rFonts w:asciiTheme="minorHAnsi" w:hAnsiTheme="minorHAnsi" w:cstheme="minorHAnsi"/>
        </w:rPr>
      </w:pPr>
      <w:r w:rsidRPr="00EB1D71">
        <w:rPr>
          <w:rFonts w:asciiTheme="minorHAnsi" w:hAnsiTheme="minorHAnsi" w:cstheme="minorHAnsi"/>
        </w:rPr>
        <w:t>To investigate the analytical costs of each of the shortlisted indic</w:t>
      </w:r>
      <w:r w:rsidR="00DF4D16">
        <w:rPr>
          <w:rFonts w:asciiTheme="minorHAnsi" w:hAnsiTheme="minorHAnsi" w:cstheme="minorHAnsi"/>
        </w:rPr>
        <w:t>a</w:t>
      </w:r>
      <w:r w:rsidRPr="00EB1D71">
        <w:rPr>
          <w:rFonts w:asciiTheme="minorHAnsi" w:hAnsiTheme="minorHAnsi" w:cstheme="minorHAnsi"/>
        </w:rPr>
        <w:t xml:space="preserve">tors, the availability and costs of testing from the four main commercial laboratories offering soil health related testing in the UK (outlined </w:t>
      </w:r>
      <w:r w:rsidR="00B73D0E" w:rsidRPr="00EB1D71">
        <w:rPr>
          <w:rFonts w:asciiTheme="minorHAnsi" w:hAnsiTheme="minorHAnsi" w:cstheme="minorHAnsi"/>
        </w:rPr>
        <w:t>above</w:t>
      </w:r>
      <w:r w:rsidRPr="00EB1D71">
        <w:rPr>
          <w:rFonts w:asciiTheme="minorHAnsi" w:hAnsiTheme="minorHAnsi" w:cstheme="minorHAnsi"/>
        </w:rPr>
        <w:t xml:space="preserve">) was reviewed. These four providers were used to assess the more “traditional” analytical tests in our shortlist – namely active carbon (POXC), potentially </w:t>
      </w:r>
      <w:proofErr w:type="spellStart"/>
      <w:r w:rsidRPr="00EB1D71">
        <w:rPr>
          <w:rFonts w:asciiTheme="minorHAnsi" w:hAnsiTheme="minorHAnsi" w:cstheme="minorHAnsi"/>
        </w:rPr>
        <w:t>minerali</w:t>
      </w:r>
      <w:r w:rsidR="00011D18" w:rsidRPr="00EB1D71">
        <w:rPr>
          <w:rFonts w:asciiTheme="minorHAnsi" w:hAnsiTheme="minorHAnsi" w:cstheme="minorHAnsi"/>
        </w:rPr>
        <w:t>s</w:t>
      </w:r>
      <w:r w:rsidRPr="00EB1D71">
        <w:rPr>
          <w:rFonts w:asciiTheme="minorHAnsi" w:hAnsiTheme="minorHAnsi" w:cstheme="minorHAnsi"/>
        </w:rPr>
        <w:t>able</w:t>
      </w:r>
      <w:proofErr w:type="spellEnd"/>
      <w:r w:rsidRPr="00EB1D71">
        <w:rPr>
          <w:rFonts w:asciiTheme="minorHAnsi" w:hAnsiTheme="minorHAnsi" w:cstheme="minorHAnsi"/>
        </w:rPr>
        <w:t xml:space="preserve"> nitrogen, and water stable aggregates (determined via wet sieving). The cost categories used were in line with the price of the current most popularly used agricultural soil tests, with £10 being equivalent to an SOM test at a commercial laboratory, while £10 - £30 being equivalent to pH, P, K, and/or Mg testing per sample. </w:t>
      </w:r>
    </w:p>
    <w:p w14:paraId="045DF94E" w14:textId="3417E83F" w:rsidR="00F26C20" w:rsidRPr="00EB1D71" w:rsidRDefault="00F26C20" w:rsidP="00037333">
      <w:pPr>
        <w:rPr>
          <w:rFonts w:asciiTheme="minorHAnsi" w:hAnsiTheme="minorHAnsi" w:cstheme="minorHAnsi"/>
        </w:rPr>
      </w:pPr>
      <w:r w:rsidRPr="00EB1D71">
        <w:rPr>
          <w:rFonts w:asciiTheme="minorHAnsi" w:hAnsiTheme="minorHAnsi" w:cstheme="minorHAnsi"/>
        </w:rPr>
        <w:t xml:space="preserve">Crop rooting via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is currently only commercially available via ADAS, thus an internal consultation was carried out with the ADAS Crop Physiology team, who provided an indicative quotation for costs of a single assessment (£65), costs of running a practical workshop to teach others how to assess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in the field (~£1400), as well as signposting to work conducted in collaboration with the British On Farm Innovation Network (BOFIN), in which the necessary materials for conducting the assessments were published freely online. Finally, slake testing was considered due to considerable farmer interest in soil health tests which can be conducted on farm. Two available apps for conducting slake tests were investigated: </w:t>
      </w:r>
      <w:proofErr w:type="spellStart"/>
      <w:r w:rsidRPr="00EB1D71">
        <w:rPr>
          <w:rFonts w:asciiTheme="minorHAnsi" w:hAnsiTheme="minorHAnsi" w:cstheme="minorHAnsi"/>
        </w:rPr>
        <w:t>Soilmentor</w:t>
      </w:r>
      <w:proofErr w:type="spellEnd"/>
      <w:r w:rsidRPr="00EB1D71">
        <w:rPr>
          <w:rFonts w:asciiTheme="minorHAnsi" w:hAnsiTheme="minorHAnsi" w:cstheme="minorHAnsi"/>
        </w:rPr>
        <w:t xml:space="preserve">, which has a monthly subscription of £35 in the UK for up to 8 fields, and SLAKES, which is freely available and has recently been trialled in the </w:t>
      </w:r>
      <w:hyperlink r:id="rId31" w:history="1">
        <w:r w:rsidRPr="00EB1D71">
          <w:rPr>
            <w:rStyle w:val="Normal-hyperlink-boldChar"/>
            <w:rFonts w:asciiTheme="minorHAnsi" w:hAnsiTheme="minorHAnsi" w:cstheme="minorHAnsi"/>
          </w:rPr>
          <w:t>AI4SoilHealth</w:t>
        </w:r>
      </w:hyperlink>
      <w:r w:rsidRPr="00EB1D71">
        <w:rPr>
          <w:rFonts w:asciiTheme="minorHAnsi" w:hAnsiTheme="minorHAnsi" w:cstheme="minorHAnsi"/>
        </w:rPr>
        <w:t xml:space="preserve"> project with promising results. </w:t>
      </w:r>
      <w:proofErr w:type="gramStart"/>
      <w:r w:rsidRPr="00EB1D71">
        <w:rPr>
          <w:rFonts w:asciiTheme="minorHAnsi" w:hAnsiTheme="minorHAnsi" w:cstheme="minorHAnsi"/>
        </w:rPr>
        <w:t>All of</w:t>
      </w:r>
      <w:proofErr w:type="gramEnd"/>
      <w:r w:rsidRPr="00EB1D71">
        <w:rPr>
          <w:rFonts w:asciiTheme="minorHAnsi" w:hAnsiTheme="minorHAnsi" w:cstheme="minorHAnsi"/>
        </w:rPr>
        <w:t xml:space="preserve"> the information gathered was used to score each indicator and analytical method in terms of associated costs to the user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_Ref223345116 \h </w:instrText>
      </w:r>
      <w:r w:rsidR="00E522A8"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6</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w:t>
      </w:r>
    </w:p>
    <w:p w14:paraId="32DCF043" w14:textId="2DB30C09" w:rsidR="00F26C20" w:rsidRPr="00EB1D71" w:rsidRDefault="00F26C20" w:rsidP="00F26C20">
      <w:pPr>
        <w:pStyle w:val="Caption"/>
        <w:keepNext/>
        <w:spacing w:after="0"/>
        <w:rPr>
          <w:rFonts w:asciiTheme="minorHAnsi" w:hAnsiTheme="minorHAnsi" w:cstheme="minorHAnsi"/>
          <w:szCs w:val="22"/>
        </w:rPr>
      </w:pPr>
      <w:bookmarkStart w:id="32" w:name="_Ref223345116"/>
      <w:bookmarkStart w:id="33" w:name="_Toc228622112"/>
      <w:r w:rsidRPr="00EB1D71">
        <w:rPr>
          <w:rFonts w:asciiTheme="minorHAnsi" w:hAnsiTheme="minorHAnsi" w:cstheme="minorHAnsi"/>
          <w:szCs w:val="22"/>
        </w:rPr>
        <w:lastRenderedPageBreak/>
        <w:t xml:space="preserve">Table </w:t>
      </w:r>
      <w:r w:rsidRPr="00EB1D71">
        <w:rPr>
          <w:rFonts w:asciiTheme="minorHAnsi" w:hAnsiTheme="minorHAnsi" w:cstheme="minorHAnsi"/>
          <w:szCs w:val="22"/>
        </w:rPr>
        <w:fldChar w:fldCharType="begin"/>
      </w:r>
      <w:r w:rsidRPr="00EB1D71">
        <w:rPr>
          <w:rFonts w:asciiTheme="minorHAnsi" w:hAnsiTheme="minorHAnsi" w:cstheme="minorHAnsi"/>
          <w:szCs w:val="22"/>
        </w:rPr>
        <w:instrText xml:space="preserve"> SEQ Table \* ARABIC </w:instrText>
      </w:r>
      <w:r w:rsidRPr="00EB1D71">
        <w:rPr>
          <w:rFonts w:asciiTheme="minorHAnsi" w:hAnsiTheme="minorHAnsi" w:cstheme="minorHAnsi"/>
          <w:szCs w:val="22"/>
        </w:rPr>
        <w:fldChar w:fldCharType="separate"/>
      </w:r>
      <w:r w:rsidR="00C400DA">
        <w:rPr>
          <w:rFonts w:asciiTheme="minorHAnsi" w:hAnsiTheme="minorHAnsi" w:cstheme="minorHAnsi"/>
          <w:noProof/>
          <w:szCs w:val="22"/>
        </w:rPr>
        <w:t>6</w:t>
      </w:r>
      <w:r w:rsidRPr="00EB1D71">
        <w:rPr>
          <w:rFonts w:asciiTheme="minorHAnsi" w:hAnsiTheme="minorHAnsi" w:cstheme="minorHAnsi"/>
          <w:szCs w:val="22"/>
        </w:rPr>
        <w:fldChar w:fldCharType="end"/>
      </w:r>
      <w:bookmarkEnd w:id="32"/>
      <w:r w:rsidRPr="00EB1D71">
        <w:rPr>
          <w:rFonts w:asciiTheme="minorHAnsi" w:hAnsiTheme="minorHAnsi" w:cstheme="minorHAnsi"/>
          <w:szCs w:val="22"/>
        </w:rPr>
        <w:t xml:space="preserve">. Rubric used to score each indicator </w:t>
      </w:r>
      <w:proofErr w:type="gramStart"/>
      <w:r w:rsidRPr="00EB1D71">
        <w:rPr>
          <w:rFonts w:asciiTheme="minorHAnsi" w:hAnsiTheme="minorHAnsi" w:cstheme="minorHAnsi"/>
          <w:szCs w:val="22"/>
        </w:rPr>
        <w:t>on the basis of</w:t>
      </w:r>
      <w:proofErr w:type="gramEnd"/>
      <w:r w:rsidRPr="00EB1D71">
        <w:rPr>
          <w:rFonts w:asciiTheme="minorHAnsi" w:hAnsiTheme="minorHAnsi" w:cstheme="minorHAnsi"/>
          <w:szCs w:val="22"/>
        </w:rPr>
        <w:t xml:space="preserve"> associated analytical costs.</w:t>
      </w:r>
      <w:bookmarkEnd w:id="33"/>
    </w:p>
    <w:tbl>
      <w:tblPr>
        <w:tblStyle w:val="TableGrid"/>
        <w:tblW w:w="0" w:type="auto"/>
        <w:tblLook w:val="04A0" w:firstRow="1" w:lastRow="0" w:firstColumn="1" w:lastColumn="0" w:noHBand="0" w:noVBand="1"/>
      </w:tblPr>
      <w:tblGrid>
        <w:gridCol w:w="1235"/>
        <w:gridCol w:w="2446"/>
        <w:gridCol w:w="5379"/>
      </w:tblGrid>
      <w:tr w:rsidR="00F26C20" w:rsidRPr="00EB1D71" w14:paraId="0E5D3352" w14:textId="77777777" w:rsidTr="00D81E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5" w:type="dxa"/>
          </w:tcPr>
          <w:p w14:paraId="60FA0F4F" w14:textId="77777777" w:rsidR="00F26C20" w:rsidRPr="00B22117" w:rsidRDefault="00F26C20" w:rsidP="002A1C7C">
            <w:pPr>
              <w:pStyle w:val="TableHeading-centred-bold"/>
            </w:pPr>
            <w:r w:rsidRPr="002A1C7C">
              <w:rPr>
                <w:b/>
              </w:rPr>
              <w:t>Score</w:t>
            </w:r>
          </w:p>
        </w:tc>
        <w:tc>
          <w:tcPr>
            <w:tcW w:w="2446" w:type="dxa"/>
          </w:tcPr>
          <w:p w14:paraId="742A22C9" w14:textId="77777777" w:rsidR="00F26C20" w:rsidRPr="00B22117" w:rsidRDefault="00F26C20" w:rsidP="002A1C7C">
            <w:pPr>
              <w:pStyle w:val="TableHeading-centred-bold"/>
              <w:cnfStyle w:val="100000000000" w:firstRow="1" w:lastRow="0" w:firstColumn="0" w:lastColumn="0" w:oddVBand="0" w:evenVBand="0" w:oddHBand="0" w:evenHBand="0" w:firstRowFirstColumn="0" w:firstRowLastColumn="0" w:lastRowFirstColumn="0" w:lastRowLastColumn="0"/>
            </w:pPr>
            <w:r w:rsidRPr="002A1C7C">
              <w:rPr>
                <w:b/>
              </w:rPr>
              <w:t>Summary</w:t>
            </w:r>
          </w:p>
        </w:tc>
        <w:tc>
          <w:tcPr>
            <w:tcW w:w="5379" w:type="dxa"/>
          </w:tcPr>
          <w:p w14:paraId="0F85781A" w14:textId="77777777" w:rsidR="00F26C20" w:rsidRPr="00B22117" w:rsidRDefault="00F26C20" w:rsidP="002A1C7C">
            <w:pPr>
              <w:pStyle w:val="TableHeading-centred-bold"/>
              <w:cnfStyle w:val="100000000000" w:firstRow="1" w:lastRow="0" w:firstColumn="0" w:lastColumn="0" w:oddVBand="0" w:evenVBand="0" w:oddHBand="0" w:evenHBand="0" w:firstRowFirstColumn="0" w:firstRowLastColumn="0" w:lastRowFirstColumn="0" w:lastRowLastColumn="0"/>
            </w:pPr>
            <w:r w:rsidRPr="002A1C7C">
              <w:rPr>
                <w:b/>
              </w:rPr>
              <w:t>Description</w:t>
            </w:r>
          </w:p>
        </w:tc>
      </w:tr>
      <w:tr w:rsidR="00F26C20" w:rsidRPr="00EB1D71" w14:paraId="60B31F2D" w14:textId="77777777" w:rsidTr="00D81E7E">
        <w:tc>
          <w:tcPr>
            <w:cnfStyle w:val="001000000000" w:firstRow="0" w:lastRow="0" w:firstColumn="1" w:lastColumn="0" w:oddVBand="0" w:evenVBand="0" w:oddHBand="0" w:evenHBand="0" w:firstRowFirstColumn="0" w:firstRowLastColumn="0" w:lastRowFirstColumn="0" w:lastRowLastColumn="0"/>
            <w:tcW w:w="1235" w:type="dxa"/>
          </w:tcPr>
          <w:p w14:paraId="28869B45" w14:textId="77777777" w:rsidR="00F26C20" w:rsidRPr="002A1C7C" w:rsidRDefault="00F26C20" w:rsidP="002A1C7C">
            <w:pPr>
              <w:pStyle w:val="Table-Body-leftaligned"/>
              <w:rPr>
                <w:b w:val="0"/>
                <w:bCs/>
              </w:rPr>
            </w:pPr>
            <w:r w:rsidRPr="00584811">
              <w:rPr>
                <w:bCs/>
              </w:rPr>
              <w:t>2</w:t>
            </w:r>
          </w:p>
        </w:tc>
        <w:tc>
          <w:tcPr>
            <w:tcW w:w="2446" w:type="dxa"/>
          </w:tcPr>
          <w:p w14:paraId="4EFF6EAC" w14:textId="77777777" w:rsidR="00F26C20" w:rsidRPr="00FC2222" w:rsidRDefault="00F26C20"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Low cost per sample</w:t>
            </w:r>
          </w:p>
        </w:tc>
        <w:tc>
          <w:tcPr>
            <w:tcW w:w="5379" w:type="dxa"/>
          </w:tcPr>
          <w:p w14:paraId="384596B3" w14:textId="77777777" w:rsidR="00F26C20" w:rsidRPr="00FC2222" w:rsidRDefault="00F26C20"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Commercial laboratories charge &lt; £10 for a sample to be analysed for this indicator; instructions necessary to assess this indicator are freely available online</w:t>
            </w:r>
          </w:p>
        </w:tc>
      </w:tr>
      <w:tr w:rsidR="00F26C20" w:rsidRPr="00EB1D71" w14:paraId="39966261" w14:textId="77777777" w:rsidTr="00D81E7E">
        <w:tc>
          <w:tcPr>
            <w:cnfStyle w:val="001000000000" w:firstRow="0" w:lastRow="0" w:firstColumn="1" w:lastColumn="0" w:oddVBand="0" w:evenVBand="0" w:oddHBand="0" w:evenHBand="0" w:firstRowFirstColumn="0" w:firstRowLastColumn="0" w:lastRowFirstColumn="0" w:lastRowLastColumn="0"/>
            <w:tcW w:w="1235" w:type="dxa"/>
          </w:tcPr>
          <w:p w14:paraId="52BFEC7F" w14:textId="77777777" w:rsidR="00F26C20" w:rsidRPr="002A1C7C" w:rsidRDefault="00F26C20" w:rsidP="002A1C7C">
            <w:pPr>
              <w:pStyle w:val="Table-Body-leftaligned"/>
              <w:rPr>
                <w:b w:val="0"/>
                <w:bCs/>
              </w:rPr>
            </w:pPr>
            <w:r w:rsidRPr="00584811">
              <w:rPr>
                <w:bCs/>
              </w:rPr>
              <w:t>1</w:t>
            </w:r>
          </w:p>
        </w:tc>
        <w:tc>
          <w:tcPr>
            <w:tcW w:w="2446" w:type="dxa"/>
          </w:tcPr>
          <w:p w14:paraId="27E0943D" w14:textId="77777777" w:rsidR="00F26C20" w:rsidRPr="00FC2222" w:rsidRDefault="00F26C20"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Medium cost per sample</w:t>
            </w:r>
          </w:p>
        </w:tc>
        <w:tc>
          <w:tcPr>
            <w:tcW w:w="5379" w:type="dxa"/>
          </w:tcPr>
          <w:p w14:paraId="6DA3A24D" w14:textId="77777777" w:rsidR="00F26C20" w:rsidRPr="00FC2222" w:rsidRDefault="00F26C20"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Commercial laboratories charge £10 - £30 for a sample to be analysed for this indicator; instructions necessary to assess this indicator are available online for a fee of &lt;£30</w:t>
            </w:r>
          </w:p>
        </w:tc>
      </w:tr>
      <w:tr w:rsidR="00F26C20" w:rsidRPr="00EB1D71" w14:paraId="5EC251C8" w14:textId="77777777" w:rsidTr="00D81E7E">
        <w:tc>
          <w:tcPr>
            <w:cnfStyle w:val="001000000000" w:firstRow="0" w:lastRow="0" w:firstColumn="1" w:lastColumn="0" w:oddVBand="0" w:evenVBand="0" w:oddHBand="0" w:evenHBand="0" w:firstRowFirstColumn="0" w:firstRowLastColumn="0" w:lastRowFirstColumn="0" w:lastRowLastColumn="0"/>
            <w:tcW w:w="1235" w:type="dxa"/>
          </w:tcPr>
          <w:p w14:paraId="5948E732" w14:textId="77777777" w:rsidR="00F26C20" w:rsidRPr="002A1C7C" w:rsidRDefault="00F26C20" w:rsidP="002A1C7C">
            <w:pPr>
              <w:pStyle w:val="Table-Body-leftaligned"/>
              <w:rPr>
                <w:b w:val="0"/>
                <w:bCs/>
              </w:rPr>
            </w:pPr>
            <w:r w:rsidRPr="00584811">
              <w:rPr>
                <w:bCs/>
              </w:rPr>
              <w:t>0</w:t>
            </w:r>
          </w:p>
        </w:tc>
        <w:tc>
          <w:tcPr>
            <w:tcW w:w="2446" w:type="dxa"/>
          </w:tcPr>
          <w:p w14:paraId="5CDA5FB3" w14:textId="77777777" w:rsidR="00F26C20" w:rsidRPr="00FC2222" w:rsidRDefault="00F26C20"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High cost per sample/ not commercially available</w:t>
            </w:r>
          </w:p>
        </w:tc>
        <w:tc>
          <w:tcPr>
            <w:tcW w:w="5379" w:type="dxa"/>
          </w:tcPr>
          <w:p w14:paraId="40963D81" w14:textId="77777777" w:rsidR="00F26C20" w:rsidRPr="00FC2222" w:rsidRDefault="00F26C20"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Commercial laboratories charge &gt; £30 for a sample to be analysed for this indicator; instructions necessary to assess this indicator are available online for a fee of &gt;£30</w:t>
            </w:r>
          </w:p>
        </w:tc>
      </w:tr>
    </w:tbl>
    <w:p w14:paraId="652FF984" w14:textId="77777777" w:rsidR="00FE2E5D" w:rsidRPr="00EB1D71" w:rsidRDefault="00FE2E5D">
      <w:pPr>
        <w:spacing w:line="278" w:lineRule="auto"/>
        <w:rPr>
          <w:rFonts w:asciiTheme="minorHAnsi" w:hAnsiTheme="minorHAnsi" w:cstheme="minorHAnsi"/>
        </w:rPr>
      </w:pPr>
    </w:p>
    <w:p w14:paraId="51A4890D" w14:textId="77777777" w:rsidR="00F26C20" w:rsidRPr="00EB1D71" w:rsidRDefault="00F26C20" w:rsidP="00B61993">
      <w:pPr>
        <w:rPr>
          <w:rFonts w:asciiTheme="minorHAnsi" w:hAnsiTheme="minorHAnsi" w:cstheme="minorHAnsi"/>
        </w:rPr>
      </w:pPr>
      <w:r w:rsidRPr="00EB1D71">
        <w:rPr>
          <w:rFonts w:asciiTheme="minorHAnsi" w:hAnsiTheme="minorHAnsi" w:cstheme="minorHAnsi"/>
        </w:rPr>
        <w:t>Each methodology (as opposed to indicator) was assessed and scored separately for its associated analytical costs, to best account for the differences in availability and cost between laboratory, app and field-based assessments. The resulting average scores for each method were then incorporated into the main logical sieve under the category “costs”.</w:t>
      </w:r>
    </w:p>
    <w:p w14:paraId="14FDEDC8" w14:textId="14357DAD" w:rsidR="00F26C20" w:rsidRPr="002A1C7C" w:rsidRDefault="00F26C20" w:rsidP="00F26C20">
      <w:pPr>
        <w:pStyle w:val="Heading3"/>
        <w:rPr>
          <w:rFonts w:asciiTheme="minorHAnsi" w:hAnsiTheme="minorHAnsi" w:cstheme="minorHAnsi"/>
          <w:color w:val="006197" w:themeColor="text1" w:themeShade="BF"/>
        </w:rPr>
      </w:pPr>
      <w:bookmarkStart w:id="34" w:name="_Toc228622080"/>
      <w:bookmarkStart w:id="35" w:name="_Toc234580964"/>
      <w:r w:rsidRPr="002A1C7C">
        <w:rPr>
          <w:rFonts w:asciiTheme="minorHAnsi" w:hAnsiTheme="minorHAnsi" w:cstheme="minorHAnsi"/>
          <w:color w:val="006197" w:themeColor="text1" w:themeShade="BF"/>
        </w:rPr>
        <w:t>Task 2.3 Stakeholder workshops</w:t>
      </w:r>
      <w:bookmarkEnd w:id="34"/>
      <w:bookmarkEnd w:id="35"/>
    </w:p>
    <w:p w14:paraId="4915DB24" w14:textId="6322FF95" w:rsidR="00F26C20" w:rsidRPr="00EB1D71" w:rsidRDefault="00F26C20" w:rsidP="00B61993">
      <w:pPr>
        <w:rPr>
          <w:rFonts w:asciiTheme="minorHAnsi" w:hAnsiTheme="minorHAnsi" w:cstheme="minorHAnsi"/>
        </w:rPr>
      </w:pPr>
      <w:r w:rsidRPr="00EB1D71">
        <w:rPr>
          <w:rFonts w:asciiTheme="minorHAnsi" w:hAnsiTheme="minorHAnsi" w:cstheme="minorHAnsi"/>
        </w:rPr>
        <w:t xml:space="preserve">The final stage of the evidence review was to conduct two stakeholder workshops for collecting feedback on the results of the evidence evaluation and final shortlisting (target of three indicators) for development of further guidance and interpretation frameworks. Two online workshops were held on 10 February 2026 using the Zoom online video conferencing platform. The workshop programme for both a morning and afternoon session was identical. The workshops were advertised through the normal channels (social media posts, ORC ebulletin, AHDB newsletters) and the target audience was farmers and advisors who routinely use soil health testing. Participants registered through Eventbrite and filled in a questionnaire indicating their background and interest in soil health testing; individuals who did not meet the target audience criteria were informed that they could not attend. A video of the main workshop content was released on YouTube after the event to ensure that access to the findings from the evidence review were openly available. </w:t>
      </w:r>
      <w:r w:rsidR="009C7929" w:rsidRPr="00EB1D71">
        <w:rPr>
          <w:rFonts w:asciiTheme="minorHAnsi" w:hAnsiTheme="minorHAnsi" w:cstheme="minorHAnsi"/>
        </w:rPr>
        <w:t xml:space="preserve">It is available to view </w:t>
      </w:r>
      <w:hyperlink r:id="rId32" w:history="1">
        <w:r w:rsidR="009C7929" w:rsidRPr="00EB1D71">
          <w:rPr>
            <w:rStyle w:val="Normal-hyperlink-boldChar"/>
            <w:rFonts w:asciiTheme="minorHAnsi" w:hAnsiTheme="minorHAnsi" w:cstheme="minorHAnsi"/>
          </w:rPr>
          <w:t>here</w:t>
        </w:r>
      </w:hyperlink>
      <w:r w:rsidR="009C7929" w:rsidRPr="00EB1D71">
        <w:rPr>
          <w:rFonts w:asciiTheme="minorHAnsi" w:hAnsiTheme="minorHAnsi" w:cstheme="minorHAnsi"/>
        </w:rPr>
        <w:t xml:space="preserve">. </w:t>
      </w:r>
    </w:p>
    <w:p w14:paraId="115DB0B7" w14:textId="6CAF5B11" w:rsidR="00F26C20" w:rsidRPr="00EB1D71" w:rsidRDefault="00F26C20" w:rsidP="00B61993">
      <w:pPr>
        <w:rPr>
          <w:rFonts w:asciiTheme="minorHAnsi" w:hAnsiTheme="minorHAnsi" w:cstheme="minorHAnsi"/>
        </w:rPr>
      </w:pPr>
      <w:r w:rsidRPr="00EB1D71">
        <w:rPr>
          <w:rFonts w:asciiTheme="minorHAnsi" w:hAnsiTheme="minorHAnsi" w:cstheme="minorHAnsi"/>
        </w:rPr>
        <w:t>The programme was designed to maximise the opportunity for feedback from participants and peer-to-peer interactions and the online survey tool Menti was used to collect anonymised responses to key questions (see Appendix: Outline of final stakeholder workshops). Breakout rooms were used to promote peer-to-peer interactions with comments recorded on the anonymised whiteboard tool Padlet. Responses from the Menti, Padlet whiteboards and the Zoom chat were compiled and analysed using AI</w:t>
      </w:r>
      <w:r w:rsidRPr="00EB1D71">
        <w:rPr>
          <w:rStyle w:val="FootnoteReference"/>
          <w:rFonts w:asciiTheme="minorHAnsi" w:hAnsiTheme="minorHAnsi" w:cstheme="minorHAnsi"/>
        </w:rPr>
        <w:footnoteReference w:id="6"/>
      </w:r>
      <w:r w:rsidRPr="00EB1D71">
        <w:rPr>
          <w:rFonts w:asciiTheme="minorHAnsi" w:hAnsiTheme="minorHAnsi" w:cstheme="minorHAnsi"/>
        </w:rPr>
        <w:t xml:space="preserve"> to provide a comprehensive assessment of stakeholder attitudes towards the indicators reviewed in the project. The final Menti survey followed the same format as the Delphi process with respondents asked to vote to include, exclude or not enough information, for each of the indicators presented. Outcomes of the stakeholder voting were presented to the AHDB team for direction on the best approach for development of further guidance and interpretation frameworks for the top-scoring indicators.</w:t>
      </w:r>
    </w:p>
    <w:p w14:paraId="3121FC9F" w14:textId="77777777" w:rsidR="00355DB9" w:rsidRPr="002A1C7C" w:rsidRDefault="00355DB9" w:rsidP="00355DB9">
      <w:pPr>
        <w:pStyle w:val="Heading3"/>
        <w:rPr>
          <w:rFonts w:asciiTheme="minorHAnsi" w:hAnsiTheme="minorHAnsi" w:cstheme="minorHAnsi"/>
          <w:color w:val="006197" w:themeColor="text1" w:themeShade="BF"/>
        </w:rPr>
      </w:pPr>
      <w:bookmarkStart w:id="36" w:name="_Toc228622081"/>
      <w:bookmarkStart w:id="37" w:name="_Toc234580965"/>
      <w:r w:rsidRPr="002A1C7C">
        <w:rPr>
          <w:rFonts w:asciiTheme="minorHAnsi" w:hAnsiTheme="minorHAnsi" w:cstheme="minorHAnsi"/>
          <w:color w:val="006197" w:themeColor="text1" w:themeShade="BF"/>
        </w:rPr>
        <w:lastRenderedPageBreak/>
        <w:t>Task 3.1 Interpretation framework</w:t>
      </w:r>
      <w:bookmarkEnd w:id="36"/>
      <w:bookmarkEnd w:id="37"/>
    </w:p>
    <w:p w14:paraId="7FE52990" w14:textId="77777777" w:rsidR="00355DB9" w:rsidRPr="00EB1D71" w:rsidRDefault="00355DB9" w:rsidP="00B61993">
      <w:pPr>
        <w:rPr>
          <w:rFonts w:asciiTheme="minorHAnsi" w:hAnsiTheme="minorHAnsi" w:cstheme="minorHAnsi"/>
        </w:rPr>
      </w:pPr>
      <w:r w:rsidRPr="00EB1D71">
        <w:rPr>
          <w:rFonts w:asciiTheme="minorHAnsi" w:hAnsiTheme="minorHAnsi" w:cstheme="minorHAnsi"/>
        </w:rPr>
        <w:t xml:space="preserve">In the original proposal the intention was to “to produce an </w:t>
      </w:r>
      <w:proofErr w:type="gramStart"/>
      <w:r w:rsidRPr="00EB1D71">
        <w:rPr>
          <w:rFonts w:asciiTheme="minorHAnsi" w:hAnsiTheme="minorHAnsi" w:cstheme="minorHAnsi"/>
        </w:rPr>
        <w:t>early indicators of soil health scorecard</w:t>
      </w:r>
      <w:proofErr w:type="gramEnd"/>
      <w:r w:rsidRPr="00EB1D71">
        <w:rPr>
          <w:rFonts w:asciiTheme="minorHAnsi" w:hAnsiTheme="minorHAnsi" w:cstheme="minorHAnsi"/>
        </w:rPr>
        <w:t xml:space="preserve"> with a similar format to the current version, but with an interpretation of what scale and rate of change in each metric is meaningful …for the top 3 ranked indicators resulting from task 2.3.”</w:t>
      </w:r>
    </w:p>
    <w:p w14:paraId="1578764C" w14:textId="110B9F8A" w:rsidR="00355DB9" w:rsidRPr="00EB1D71" w:rsidRDefault="00355DB9" w:rsidP="00B61993">
      <w:pPr>
        <w:rPr>
          <w:rFonts w:asciiTheme="minorHAnsi" w:hAnsiTheme="minorHAnsi" w:cstheme="minorHAnsi"/>
        </w:rPr>
      </w:pPr>
      <w:r w:rsidRPr="00EB1D71">
        <w:rPr>
          <w:rFonts w:asciiTheme="minorHAnsi" w:hAnsiTheme="minorHAnsi" w:cstheme="minorHAnsi"/>
        </w:rPr>
        <w:t xml:space="preserve">Following the feedback from stakeholders (see </w:t>
      </w:r>
      <w:r w:rsidR="00C60693" w:rsidRPr="00EB1D71">
        <w:rPr>
          <w:rFonts w:asciiTheme="minorHAnsi" w:hAnsiTheme="minorHAnsi" w:cstheme="minorHAnsi"/>
        </w:rPr>
        <w:t>Results s</w:t>
      </w:r>
      <w:r w:rsidRPr="00EB1D71">
        <w:rPr>
          <w:rFonts w:asciiTheme="minorHAnsi" w:hAnsiTheme="minorHAnsi" w:cstheme="minorHAnsi"/>
        </w:rPr>
        <w:t>ection: Stakeholder workshop outcomes) it was recognised that there was more background work to be done on explaining the utility of the shortlisted indicators; data limitations that would affect the potential to design traffic lights for each indicator were also identified. A project update meeting was held with AHDB to ensure alignment of final project outputs with funder expectations. On this basis, it was agreed to focus on “explainer factsheets” for each shortlisted indicator</w:t>
      </w:r>
      <w:r w:rsidR="005D01A2">
        <w:rPr>
          <w:rFonts w:asciiTheme="minorHAnsi" w:hAnsiTheme="minorHAnsi" w:cstheme="minorHAnsi"/>
        </w:rPr>
        <w:t xml:space="preserve"> (see Appendix)</w:t>
      </w:r>
      <w:r w:rsidRPr="00EB1D71">
        <w:rPr>
          <w:rFonts w:asciiTheme="minorHAnsi" w:hAnsiTheme="minorHAnsi" w:cstheme="minorHAnsi"/>
        </w:rPr>
        <w:t xml:space="preserve">. For PMN only, a more in-depth analysis of existing datasets was proposed to update current thresholds which are based on statistical analysis of 625 samples as part of the original Soil Biology and Soil Health Partnership project (see </w:t>
      </w:r>
      <w:sdt>
        <w:sdtPr>
          <w:rPr>
            <w:rFonts w:asciiTheme="minorHAnsi" w:hAnsiTheme="minorHAnsi" w:cstheme="minorHAnsi"/>
          </w:rPr>
          <w:tag w:val="MENDELEY_CITATION_v3_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"/>
          <w:id w:val="-1683585180"/>
          <w:placeholder>
            <w:docPart w:val="68F49890965D42249F0D776FE78E7CB2"/>
          </w:placeholder>
        </w:sdtPr>
        <w:sdtEndPr/>
        <w:sdtContent>
          <w:r w:rsidRPr="00EB1D71">
            <w:rPr>
              <w:rFonts w:asciiTheme="minorHAnsi" w:hAnsiTheme="minorHAnsi" w:cstheme="minorHAnsi"/>
            </w:rPr>
            <w:t>Bhogal et al.</w:t>
          </w:r>
        </w:sdtContent>
      </w:sdt>
      <w:r w:rsidRPr="00EB1D71">
        <w:rPr>
          <w:rFonts w:asciiTheme="minorHAnsi" w:hAnsiTheme="minorHAnsi" w:cstheme="minorHAnsi"/>
        </w:rPr>
        <w:t xml:space="preserve"> 2020).</w:t>
      </w:r>
    </w:p>
    <w:p w14:paraId="5ACAA037" w14:textId="77777777" w:rsidR="00355DB9" w:rsidRPr="002A1C7C" w:rsidRDefault="00355DB9" w:rsidP="00355DB9">
      <w:pPr>
        <w:pStyle w:val="Heading3"/>
        <w:rPr>
          <w:rFonts w:asciiTheme="minorHAnsi" w:hAnsiTheme="minorHAnsi" w:cstheme="minorHAnsi"/>
          <w:color w:val="006197" w:themeColor="text1" w:themeShade="BF"/>
        </w:rPr>
      </w:pPr>
      <w:bookmarkStart w:id="38" w:name="_Toc228622082"/>
      <w:bookmarkStart w:id="39" w:name="_Toc234580966"/>
      <w:r w:rsidRPr="002A1C7C">
        <w:rPr>
          <w:rFonts w:asciiTheme="minorHAnsi" w:hAnsiTheme="minorHAnsi" w:cstheme="minorHAnsi"/>
          <w:color w:val="006197" w:themeColor="text1" w:themeShade="BF"/>
        </w:rPr>
        <w:t>Task 3.2 Knowledge gaps</w:t>
      </w:r>
      <w:bookmarkEnd w:id="38"/>
      <w:bookmarkEnd w:id="39"/>
    </w:p>
    <w:p w14:paraId="2A714276" w14:textId="77777777" w:rsidR="00355DB9" w:rsidRPr="00EB1D71" w:rsidRDefault="00355DB9" w:rsidP="00B61993">
      <w:pPr>
        <w:rPr>
          <w:rFonts w:asciiTheme="minorHAnsi" w:hAnsiTheme="minorHAnsi" w:cstheme="minorHAnsi"/>
        </w:rPr>
      </w:pPr>
      <w:r w:rsidRPr="00EB1D71">
        <w:rPr>
          <w:rFonts w:asciiTheme="minorHAnsi" w:hAnsiTheme="minorHAnsi" w:cstheme="minorHAnsi"/>
        </w:rPr>
        <w:t>Throughout the project knowledge gaps were highlighted and compiled by the project team. This included: during the expert Delphi process (see qualitative analysis of results), during the evidence review, particularly flagging gaps identified in the key resources, and during the stakeholder workshops. These gaps were synthesised and reviewed by the team.</w:t>
      </w:r>
    </w:p>
    <w:p w14:paraId="61F6B4E1" w14:textId="77777777" w:rsidR="002B652E" w:rsidRPr="00EB1D71" w:rsidRDefault="002B652E" w:rsidP="002B652E">
      <w:pPr>
        <w:rPr>
          <w:rFonts w:asciiTheme="minorHAnsi" w:hAnsiTheme="minorHAnsi" w:cstheme="minorHAnsi"/>
        </w:rPr>
      </w:pPr>
      <w:bookmarkStart w:id="40" w:name="_Results"/>
      <w:bookmarkStart w:id="41" w:name="_Toc228622083"/>
      <w:bookmarkEnd w:id="40"/>
      <w:r w:rsidRPr="00EB1D71">
        <w:rPr>
          <w:rFonts w:asciiTheme="minorHAnsi" w:hAnsiTheme="minorHAnsi" w:cstheme="minorHAnsi"/>
        </w:rPr>
        <w:br w:type="page"/>
      </w:r>
    </w:p>
    <w:p w14:paraId="29AC273C" w14:textId="4A8B6D8E" w:rsidR="00355DB9" w:rsidRPr="00EB1D71" w:rsidRDefault="00355DB9" w:rsidP="00355DB9">
      <w:pPr>
        <w:pStyle w:val="Heading2"/>
        <w:rPr>
          <w:rFonts w:asciiTheme="minorHAnsi" w:hAnsiTheme="minorHAnsi" w:cstheme="minorHAnsi"/>
        </w:rPr>
      </w:pPr>
      <w:bookmarkStart w:id="42" w:name="_Toc234580967"/>
      <w:r w:rsidRPr="00EB1D71">
        <w:rPr>
          <w:rFonts w:asciiTheme="minorHAnsi" w:hAnsiTheme="minorHAnsi" w:cstheme="minorHAnsi"/>
        </w:rPr>
        <w:lastRenderedPageBreak/>
        <w:t>Results</w:t>
      </w:r>
      <w:bookmarkEnd w:id="41"/>
      <w:bookmarkEnd w:id="42"/>
    </w:p>
    <w:p w14:paraId="435021FB" w14:textId="7C7062EA" w:rsidR="00E34291" w:rsidRPr="00EB1D71" w:rsidRDefault="00355DB9" w:rsidP="00B61993">
      <w:pPr>
        <w:rPr>
          <w:rFonts w:asciiTheme="minorHAnsi" w:hAnsiTheme="minorHAnsi" w:cstheme="minorHAnsi"/>
        </w:rPr>
      </w:pPr>
      <w:r w:rsidRPr="00EB1D71">
        <w:rPr>
          <w:rFonts w:asciiTheme="minorHAnsi" w:hAnsiTheme="minorHAnsi" w:cstheme="minorHAnsi"/>
        </w:rPr>
        <w:t xml:space="preserve">A </w:t>
      </w:r>
      <w:r w:rsidR="00C2359F">
        <w:rPr>
          <w:rFonts w:asciiTheme="minorHAnsi" w:hAnsiTheme="minorHAnsi" w:cstheme="minorHAnsi"/>
        </w:rPr>
        <w:t xml:space="preserve">visual </w:t>
      </w:r>
      <w:r w:rsidRPr="00EB1D71">
        <w:rPr>
          <w:rFonts w:asciiTheme="minorHAnsi" w:hAnsiTheme="minorHAnsi" w:cstheme="minorHAnsi"/>
        </w:rPr>
        <w:t xml:space="preserve">summary of the results of each stage of the indicator evaluation process is provided in </w:t>
      </w:r>
      <w:r w:rsidR="006329C4" w:rsidRPr="00EB1D71">
        <w:rPr>
          <w:rStyle w:val="TableHyperlink"/>
          <w:rFonts w:asciiTheme="minorHAnsi" w:hAnsiTheme="minorHAnsi" w:cstheme="minorHAnsi"/>
        </w:rPr>
        <w:fldChar w:fldCharType="begin"/>
      </w:r>
      <w:r w:rsidR="006329C4" w:rsidRPr="00EB1D71">
        <w:rPr>
          <w:rStyle w:val="TableHyperlink"/>
          <w:rFonts w:asciiTheme="minorHAnsi" w:hAnsiTheme="minorHAnsi" w:cstheme="minorHAnsi"/>
        </w:rPr>
        <w:instrText xml:space="preserve"> REF _Ref229661245 \h </w:instrText>
      </w:r>
      <w:r w:rsidR="00E522A8" w:rsidRPr="00EB1D71">
        <w:rPr>
          <w:rStyle w:val="TableHyperlink"/>
          <w:rFonts w:asciiTheme="minorHAnsi" w:hAnsiTheme="minorHAnsi" w:cstheme="minorHAnsi"/>
        </w:rPr>
        <w:instrText xml:space="preserve"> \* MERGEFORMAT </w:instrText>
      </w:r>
      <w:r w:rsidR="006329C4" w:rsidRPr="00EB1D71">
        <w:rPr>
          <w:rStyle w:val="TableHyperlink"/>
          <w:rFonts w:asciiTheme="minorHAnsi" w:hAnsiTheme="minorHAnsi" w:cstheme="minorHAnsi"/>
        </w:rPr>
      </w:r>
      <w:r w:rsidR="006329C4" w:rsidRPr="00EB1D71">
        <w:rPr>
          <w:rStyle w:val="TableHyperlink"/>
          <w:rFonts w:asciiTheme="minorHAnsi" w:hAnsiTheme="minorHAnsi" w:cstheme="minorHAnsi"/>
        </w:rPr>
        <w:fldChar w:fldCharType="separate"/>
      </w:r>
      <w:r w:rsidR="006329C4" w:rsidRPr="00EB1D71">
        <w:rPr>
          <w:rStyle w:val="TableHyperlink"/>
          <w:rFonts w:asciiTheme="minorHAnsi" w:hAnsiTheme="minorHAnsi" w:cstheme="minorHAnsi"/>
        </w:rPr>
        <w:t>Figure 4</w:t>
      </w:r>
      <w:r w:rsidR="006329C4" w:rsidRPr="00EB1D71">
        <w:rPr>
          <w:rStyle w:val="TableHyperlink"/>
          <w:rFonts w:asciiTheme="minorHAnsi" w:hAnsiTheme="minorHAnsi" w:cstheme="minorHAnsi"/>
        </w:rPr>
        <w:fldChar w:fldCharType="end"/>
      </w:r>
      <w:r w:rsidRPr="00EB1D71">
        <w:rPr>
          <w:rFonts w:asciiTheme="minorHAnsi" w:hAnsiTheme="minorHAnsi" w:cstheme="minorHAnsi"/>
        </w:rPr>
        <w:t>. In Task 2.1 the IRG was asked to prioritise and rank the ten indicators and selected PMN, crop rooting, active C and aggregate stability</w:t>
      </w:r>
      <w:r w:rsidR="006A7A86">
        <w:rPr>
          <w:rFonts w:asciiTheme="minorHAnsi" w:hAnsiTheme="minorHAnsi" w:cstheme="minorHAnsi"/>
        </w:rPr>
        <w:t xml:space="preserve"> to take forward</w:t>
      </w:r>
      <w:r w:rsidRPr="00EB1D71">
        <w:rPr>
          <w:rFonts w:asciiTheme="minorHAnsi" w:hAnsiTheme="minorHAnsi" w:cstheme="minorHAnsi"/>
        </w:rPr>
        <w:t xml:space="preserve">. At this stage of the process, methods for each indicator were not defined; however, to conduct the evidence review in Task 2.2, it was necessary to clearly specify the method to accurately evaluate the evidence. In some cases (e.g. active C and aggregate stability) there is more than one recognised method (see Introduction for more detail and citations on each method). POXC was more commonly reported in the evidence and was the preferred method for measuring active C. Wet sieving was the preferred method for measurement of aggregate stability. </w:t>
      </w:r>
      <w:bookmarkStart w:id="43" w:name="_Toc228622128"/>
      <w:r w:rsidR="00CA0540">
        <w:rPr>
          <w:rFonts w:asciiTheme="minorHAnsi" w:hAnsiTheme="minorHAnsi" w:cstheme="minorHAnsi"/>
        </w:rPr>
        <w:t xml:space="preserve">The method used for </w:t>
      </w:r>
      <w:r w:rsidR="00D82414">
        <w:rPr>
          <w:rFonts w:asciiTheme="minorHAnsi" w:hAnsiTheme="minorHAnsi" w:cstheme="minorHAnsi"/>
        </w:rPr>
        <w:t>measuring p</w:t>
      </w:r>
      <w:r w:rsidR="009245A8">
        <w:rPr>
          <w:rFonts w:asciiTheme="minorHAnsi" w:hAnsiTheme="minorHAnsi" w:cstheme="minorHAnsi"/>
        </w:rPr>
        <w:t xml:space="preserve">otentially mineralisable nitrogen was </w:t>
      </w:r>
      <w:r w:rsidR="004610C3">
        <w:rPr>
          <w:rFonts w:asciiTheme="minorHAnsi" w:hAnsiTheme="minorHAnsi" w:cstheme="minorHAnsi"/>
        </w:rPr>
        <w:t xml:space="preserve">anaerobic incubation. </w:t>
      </w:r>
      <w:r w:rsidR="002B652E" w:rsidRPr="00EB1D71">
        <w:rPr>
          <w:rFonts w:asciiTheme="minorHAnsi" w:hAnsiTheme="minorHAnsi" w:cstheme="minorHAnsi"/>
        </w:rPr>
        <w:t xml:space="preserve">In Task 2.3 stakeholders strongly favoured farmer-led assessments including slake testing and </w:t>
      </w:r>
      <w:proofErr w:type="spellStart"/>
      <w:r w:rsidR="002B652E" w:rsidRPr="00EB1D71">
        <w:rPr>
          <w:rFonts w:asciiTheme="minorHAnsi" w:hAnsiTheme="minorHAnsi" w:cstheme="minorHAnsi"/>
        </w:rPr>
        <w:t>shovelomics</w:t>
      </w:r>
      <w:proofErr w:type="spellEnd"/>
      <w:r w:rsidR="002B652E" w:rsidRPr="00EB1D71">
        <w:rPr>
          <w:rFonts w:asciiTheme="minorHAnsi" w:hAnsiTheme="minorHAnsi" w:cstheme="minorHAnsi"/>
        </w:rPr>
        <w:t xml:space="preserve">. Following consultation with AHDB the final decision on the top 3 indicators was </w:t>
      </w:r>
      <w:r w:rsidR="007A785E" w:rsidRPr="00EB1D71">
        <w:rPr>
          <w:rFonts w:asciiTheme="minorHAnsi" w:hAnsiTheme="minorHAnsi" w:cstheme="minorHAnsi"/>
        </w:rPr>
        <w:t xml:space="preserve">to update </w:t>
      </w:r>
      <w:r w:rsidR="002B652E" w:rsidRPr="00EB1D71">
        <w:rPr>
          <w:rFonts w:asciiTheme="minorHAnsi" w:hAnsiTheme="minorHAnsi" w:cstheme="minorHAnsi"/>
        </w:rPr>
        <w:t>guidance on aggregate stability, active C (POXC) and PMN.</w:t>
      </w:r>
    </w:p>
    <w:p w14:paraId="1A0C745D" w14:textId="5A8CB38A" w:rsidR="00355DB9" w:rsidRPr="00EB1D71" w:rsidRDefault="00355DB9" w:rsidP="00E34291">
      <w:pPr>
        <w:pStyle w:val="Caption"/>
        <w:rPr>
          <w:rFonts w:asciiTheme="minorHAnsi" w:hAnsiTheme="minorHAnsi" w:cstheme="minorHAnsi"/>
        </w:rPr>
      </w:pPr>
      <w:bookmarkStart w:id="44" w:name="_Ref229661245"/>
      <w:r w:rsidRPr="00EB1D71">
        <w:rPr>
          <w:rFonts w:asciiTheme="minorHAnsi" w:hAnsiTheme="minorHAnsi" w:cstheme="minorHAnsi"/>
        </w:rPr>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4</w:t>
      </w:r>
      <w:r w:rsidR="007D3945">
        <w:rPr>
          <w:rFonts w:asciiTheme="minorHAnsi" w:hAnsiTheme="minorHAnsi" w:cstheme="minorHAnsi"/>
        </w:rPr>
        <w:fldChar w:fldCharType="end"/>
      </w:r>
      <w:bookmarkEnd w:id="44"/>
      <w:r w:rsidRPr="00EB1D71">
        <w:rPr>
          <w:rFonts w:asciiTheme="minorHAnsi" w:hAnsiTheme="minorHAnsi" w:cstheme="minorHAnsi"/>
        </w:rPr>
        <w:t xml:space="preserve">. Summary of results for each stage of the evaluation process with outcomes shown in </w:t>
      </w:r>
      <w:r w:rsidR="003D6509" w:rsidRPr="00EB1D71">
        <w:rPr>
          <w:rFonts w:asciiTheme="minorHAnsi" w:hAnsiTheme="minorHAnsi" w:cstheme="minorHAnsi"/>
        </w:rPr>
        <w:t>white</w:t>
      </w:r>
      <w:r w:rsidR="00FD462A">
        <w:rPr>
          <w:rFonts w:asciiTheme="minorHAnsi" w:hAnsiTheme="minorHAnsi" w:cstheme="minorHAnsi"/>
        </w:rPr>
        <w:t xml:space="preserve"> </w:t>
      </w:r>
      <w:r w:rsidRPr="00EB1D71">
        <w:rPr>
          <w:rFonts w:asciiTheme="minorHAnsi" w:hAnsiTheme="minorHAnsi" w:cstheme="minorHAnsi"/>
        </w:rPr>
        <w:t>boxes next to each task.</w:t>
      </w:r>
      <w:bookmarkEnd w:id="43"/>
    </w:p>
    <w:p w14:paraId="4C69DF7E" w14:textId="4DDA1961" w:rsidR="00355DB9" w:rsidRPr="00EB1D71" w:rsidRDefault="00355DB9" w:rsidP="00355DB9">
      <w:pPr>
        <w:rPr>
          <w:rFonts w:asciiTheme="minorHAnsi" w:hAnsiTheme="minorHAnsi" w:cstheme="minorHAnsi"/>
        </w:rPr>
      </w:pPr>
      <w:r w:rsidRPr="00EB1D71">
        <w:rPr>
          <w:rFonts w:asciiTheme="minorHAnsi" w:hAnsiTheme="minorHAnsi" w:cstheme="minorHAnsi"/>
          <w:noProof/>
        </w:rPr>
        <w:drawing>
          <wp:inline distT="0" distB="0" distL="0" distR="0" wp14:anchorId="430C82A4" wp14:editId="6CBF0F5B">
            <wp:extent cx="5759450" cy="3594427"/>
            <wp:effectExtent l="19050" t="19050" r="12700" b="25400"/>
            <wp:docPr id="6814276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427636" name="Picture 1">
                      <a:extLst>
                        <a:ext uri="{C183D7F6-B498-43B3-948B-1728B52AA6E4}">
                          <adec:decorative xmlns:adec="http://schemas.microsoft.com/office/drawing/2017/decorative" val="1"/>
                        </a:ext>
                      </a:extLst>
                    </pic:cNvPr>
                    <pic:cNvPicPr/>
                  </pic:nvPicPr>
                  <pic:blipFill>
                    <a:blip r:embed="rId33"/>
                    <a:stretch>
                      <a:fillRect/>
                    </a:stretch>
                  </pic:blipFill>
                  <pic:spPr>
                    <a:xfrm>
                      <a:off x="0" y="0"/>
                      <a:ext cx="5759450" cy="3594427"/>
                    </a:xfrm>
                    <a:prstGeom prst="rect">
                      <a:avLst/>
                    </a:prstGeom>
                    <a:ln>
                      <a:solidFill>
                        <a:schemeClr val="bg1">
                          <a:lumMod val="75000"/>
                        </a:schemeClr>
                      </a:solidFill>
                    </a:ln>
                  </pic:spPr>
                </pic:pic>
              </a:graphicData>
            </a:graphic>
          </wp:inline>
        </w:drawing>
      </w:r>
      <w:r w:rsidRPr="00EB1D71">
        <w:rPr>
          <w:rFonts w:asciiTheme="minorHAnsi" w:hAnsiTheme="minorHAnsi" w:cstheme="minorHAnsi"/>
        </w:rPr>
        <w:t xml:space="preserve"> </w:t>
      </w:r>
    </w:p>
    <w:p w14:paraId="15C424E7" w14:textId="79454D0B" w:rsidR="00963005" w:rsidRDefault="00963005" w:rsidP="007516FA">
      <w:pPr>
        <w:spacing w:line="278" w:lineRule="auto"/>
        <w:rPr>
          <w:rFonts w:asciiTheme="minorHAnsi" w:hAnsiTheme="minorHAnsi" w:cstheme="minorHAnsi"/>
          <w:color w:val="0082CA" w:themeColor="text1"/>
          <w:sz w:val="30"/>
        </w:rPr>
      </w:pPr>
      <w:bookmarkStart w:id="45" w:name="_Toc228622084"/>
      <w:r>
        <w:rPr>
          <w:rFonts w:asciiTheme="minorHAnsi" w:hAnsiTheme="minorHAnsi" w:cstheme="minorHAnsi"/>
        </w:rPr>
        <w:br w:type="page"/>
      </w:r>
    </w:p>
    <w:p w14:paraId="0C7D43B0" w14:textId="065F6C23" w:rsidR="00355DB9" w:rsidRPr="004610C3" w:rsidRDefault="00355DB9" w:rsidP="00355DB9">
      <w:pPr>
        <w:pStyle w:val="Heading3"/>
        <w:rPr>
          <w:rFonts w:asciiTheme="minorHAnsi" w:hAnsiTheme="minorHAnsi" w:cstheme="minorHAnsi"/>
          <w:color w:val="006197" w:themeColor="text1" w:themeShade="BF"/>
        </w:rPr>
      </w:pPr>
      <w:bookmarkStart w:id="46" w:name="_Toc234580968"/>
      <w:r w:rsidRPr="004610C3">
        <w:rPr>
          <w:rFonts w:asciiTheme="minorHAnsi" w:hAnsiTheme="minorHAnsi" w:cstheme="minorHAnsi"/>
          <w:color w:val="006197" w:themeColor="text1" w:themeShade="BF"/>
        </w:rPr>
        <w:lastRenderedPageBreak/>
        <w:t>Task 2.1 Delphi screening– shortlist of indicators for further evidence review</w:t>
      </w:r>
      <w:bookmarkEnd w:id="45"/>
      <w:bookmarkEnd w:id="46"/>
    </w:p>
    <w:p w14:paraId="3C9A688A" w14:textId="05209103" w:rsidR="00355DB9" w:rsidRPr="00EB1D71" w:rsidRDefault="00355DB9" w:rsidP="00B61993">
      <w:pPr>
        <w:rPr>
          <w:rFonts w:asciiTheme="minorHAnsi" w:hAnsiTheme="minorHAnsi" w:cstheme="minorHAnsi"/>
        </w:rPr>
      </w:pPr>
      <w:r w:rsidRPr="00EB1D71">
        <w:rPr>
          <w:rFonts w:asciiTheme="minorHAnsi" w:hAnsiTheme="minorHAnsi" w:cstheme="minorHAnsi"/>
        </w:rPr>
        <w:t>The outcome of the first-round survey of experts is shown in the summary report (see Appendix). At this stage earthworms ranked highest followed by potentially minerali</w:t>
      </w:r>
      <w:r w:rsidR="007328D1" w:rsidRPr="00EB1D71">
        <w:rPr>
          <w:rFonts w:asciiTheme="minorHAnsi" w:hAnsiTheme="minorHAnsi" w:cstheme="minorHAnsi"/>
        </w:rPr>
        <w:t>s</w:t>
      </w:r>
      <w:r w:rsidRPr="00EB1D71">
        <w:rPr>
          <w:rFonts w:asciiTheme="minorHAnsi" w:hAnsiTheme="minorHAnsi" w:cstheme="minorHAnsi"/>
        </w:rPr>
        <w:t>able nitrogen (PMN), crop rooting and CO</w:t>
      </w:r>
      <w:r w:rsidRPr="00EB1D71">
        <w:rPr>
          <w:rFonts w:asciiTheme="minorHAnsi" w:hAnsiTheme="minorHAnsi" w:cstheme="minorHAnsi"/>
          <w:vertAlign w:val="subscript"/>
        </w:rPr>
        <w:t>2</w:t>
      </w:r>
      <w:r w:rsidRPr="00EB1D71">
        <w:rPr>
          <w:rFonts w:asciiTheme="minorHAnsi" w:hAnsiTheme="minorHAnsi" w:cstheme="minorHAnsi"/>
        </w:rPr>
        <w:t xml:space="preserve"> burst. Measures of microbial diversity and function (PLFA, enzyme assays, soil </w:t>
      </w:r>
      <w:proofErr w:type="spellStart"/>
      <w:r w:rsidRPr="00EB1D71">
        <w:rPr>
          <w:rFonts w:asciiTheme="minorHAnsi" w:hAnsiTheme="minorHAnsi" w:cstheme="minorHAnsi"/>
        </w:rPr>
        <w:t>foodweb</w:t>
      </w:r>
      <w:proofErr w:type="spellEnd"/>
      <w:r w:rsidRPr="00EB1D71">
        <w:rPr>
          <w:rFonts w:asciiTheme="minorHAnsi" w:hAnsiTheme="minorHAnsi" w:cstheme="minorHAnsi"/>
        </w:rPr>
        <w:t xml:space="preserve"> and qPCR) were ranked the lowest.</w:t>
      </w:r>
    </w:p>
    <w:p w14:paraId="1DD804D6" w14:textId="02D11B8C" w:rsidR="00355DB9" w:rsidRPr="00EB1D71" w:rsidRDefault="00355DB9" w:rsidP="00B61993">
      <w:pPr>
        <w:rPr>
          <w:rFonts w:asciiTheme="minorHAnsi" w:hAnsiTheme="minorHAnsi" w:cstheme="minorHAnsi"/>
        </w:rPr>
      </w:pPr>
      <w:r w:rsidRPr="00EB1D71">
        <w:rPr>
          <w:rFonts w:asciiTheme="minorHAnsi" w:hAnsiTheme="minorHAnsi" w:cstheme="minorHAnsi"/>
        </w:rPr>
        <w:t>In the second survey after being presented with outcomes of the first-round, experts ranked the indicators differently (</w:t>
      </w:r>
      <w:r w:rsidR="006329C4" w:rsidRPr="00EB1D71">
        <w:rPr>
          <w:rStyle w:val="TableHyperlink"/>
          <w:rFonts w:asciiTheme="minorHAnsi" w:hAnsiTheme="minorHAnsi" w:cstheme="minorHAnsi"/>
        </w:rPr>
        <w:fldChar w:fldCharType="begin"/>
      </w:r>
      <w:r w:rsidR="006329C4" w:rsidRPr="00EB1D71">
        <w:rPr>
          <w:rStyle w:val="TableHyperlink"/>
          <w:rFonts w:asciiTheme="minorHAnsi" w:hAnsiTheme="minorHAnsi" w:cstheme="minorHAnsi"/>
        </w:rPr>
        <w:instrText xml:space="preserve"> REF _Ref229661258 \h </w:instrText>
      </w:r>
      <w:r w:rsidR="00AB0486" w:rsidRPr="00EB1D71">
        <w:rPr>
          <w:rStyle w:val="TableHyperlink"/>
          <w:rFonts w:asciiTheme="minorHAnsi" w:hAnsiTheme="minorHAnsi" w:cstheme="minorHAnsi"/>
        </w:rPr>
        <w:instrText xml:space="preserve"> \* MERGEFORMAT </w:instrText>
      </w:r>
      <w:r w:rsidR="006329C4" w:rsidRPr="00EB1D71">
        <w:rPr>
          <w:rStyle w:val="TableHyperlink"/>
          <w:rFonts w:asciiTheme="minorHAnsi" w:hAnsiTheme="minorHAnsi" w:cstheme="minorHAnsi"/>
        </w:rPr>
      </w:r>
      <w:r w:rsidR="006329C4" w:rsidRPr="00EB1D71">
        <w:rPr>
          <w:rStyle w:val="TableHyperlink"/>
          <w:rFonts w:asciiTheme="minorHAnsi" w:hAnsiTheme="minorHAnsi" w:cstheme="minorHAnsi"/>
        </w:rPr>
        <w:fldChar w:fldCharType="separate"/>
      </w:r>
      <w:r w:rsidR="006329C4" w:rsidRPr="00EB1D71">
        <w:rPr>
          <w:rStyle w:val="TableHyperlink"/>
          <w:rFonts w:asciiTheme="minorHAnsi" w:hAnsiTheme="minorHAnsi" w:cstheme="minorHAnsi"/>
        </w:rPr>
        <w:t>Figure 5</w:t>
      </w:r>
      <w:r w:rsidR="006329C4" w:rsidRPr="00EB1D71">
        <w:rPr>
          <w:rStyle w:val="TableHyperlink"/>
          <w:rFonts w:asciiTheme="minorHAnsi" w:hAnsiTheme="minorHAnsi" w:cstheme="minorHAnsi"/>
        </w:rPr>
        <w:fldChar w:fldCharType="end"/>
      </w:r>
      <w:r w:rsidRPr="00EB1D71">
        <w:rPr>
          <w:rFonts w:asciiTheme="minorHAnsi" w:hAnsiTheme="minorHAnsi" w:cstheme="minorHAnsi"/>
        </w:rPr>
        <w:t xml:space="preserve">). Water stable aggregates moved into the top ranked spot. The order of the remaining indicators stayed </w:t>
      </w:r>
      <w:proofErr w:type="gramStart"/>
      <w:r w:rsidRPr="00EB1D71">
        <w:rPr>
          <w:rFonts w:asciiTheme="minorHAnsi" w:hAnsiTheme="minorHAnsi" w:cstheme="minorHAnsi"/>
        </w:rPr>
        <w:t>similar to</w:t>
      </w:r>
      <w:proofErr w:type="gramEnd"/>
      <w:r w:rsidRPr="00EB1D71">
        <w:rPr>
          <w:rFonts w:asciiTheme="minorHAnsi" w:hAnsiTheme="minorHAnsi" w:cstheme="minorHAnsi"/>
        </w:rPr>
        <w:t xml:space="preserve"> the first-round with three of the four measures of microbial diversity and function ranking lowest.</w:t>
      </w:r>
    </w:p>
    <w:p w14:paraId="0E4DD437" w14:textId="41CDD271" w:rsidR="00355DB9" w:rsidRPr="00EB1D71" w:rsidRDefault="00355DB9" w:rsidP="007E3608">
      <w:pPr>
        <w:pStyle w:val="Caption"/>
        <w:keepNext/>
        <w:rPr>
          <w:rFonts w:asciiTheme="minorHAnsi" w:hAnsiTheme="minorHAnsi" w:cstheme="minorHAnsi"/>
        </w:rPr>
      </w:pPr>
      <w:bookmarkStart w:id="47" w:name="_Ref229661258"/>
      <w:bookmarkStart w:id="48" w:name="_Toc228622129"/>
      <w:r w:rsidRPr="00EB1D71">
        <w:rPr>
          <w:rFonts w:asciiTheme="minorHAnsi" w:hAnsiTheme="minorHAnsi" w:cstheme="minorHAnsi"/>
        </w:rPr>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5</w:t>
      </w:r>
      <w:r w:rsidR="007D3945">
        <w:rPr>
          <w:rFonts w:asciiTheme="minorHAnsi" w:hAnsiTheme="minorHAnsi" w:cstheme="minorHAnsi"/>
        </w:rPr>
        <w:fldChar w:fldCharType="end"/>
      </w:r>
      <w:bookmarkEnd w:id="47"/>
      <w:r w:rsidRPr="00EB1D71">
        <w:rPr>
          <w:rFonts w:asciiTheme="minorHAnsi" w:hAnsiTheme="minorHAnsi" w:cstheme="minorHAnsi"/>
        </w:rPr>
        <w:t>. Expert ranking of 10 early indicators of soil health in the second-round survey.</w:t>
      </w:r>
      <w:bookmarkEnd w:id="48"/>
    </w:p>
    <w:p w14:paraId="766667AF" w14:textId="596C6791" w:rsidR="00F26C20" w:rsidRDefault="00355DB9">
      <w:pPr>
        <w:spacing w:line="278" w:lineRule="auto"/>
        <w:rPr>
          <w:rFonts w:asciiTheme="minorHAnsi" w:hAnsiTheme="minorHAnsi" w:cstheme="minorHAnsi"/>
        </w:rPr>
      </w:pPr>
      <w:r w:rsidRPr="00EB1D71">
        <w:rPr>
          <w:rFonts w:asciiTheme="minorHAnsi" w:hAnsiTheme="minorHAnsi" w:cstheme="minorHAnsi"/>
          <w:noProof/>
        </w:rPr>
        <w:drawing>
          <wp:inline distT="0" distB="0" distL="0" distR="0" wp14:anchorId="2ECDFFD1" wp14:editId="386A67DD">
            <wp:extent cx="5759450" cy="1856673"/>
            <wp:effectExtent l="19050" t="19050" r="12700" b="10795"/>
            <wp:docPr id="4" name="Picture 3" descr="A horizontal bar chart showing soil indicators ranked by the experts in the industry reference group. Water stable aggregates is ranked highest and soil foodweb analysis lowest.">
              <a:extLst xmlns:a="http://schemas.openxmlformats.org/drawingml/2006/main">
                <a:ext uri="{FF2B5EF4-FFF2-40B4-BE49-F238E27FC236}">
                  <a16:creationId xmlns:a16="http://schemas.microsoft.com/office/drawing/2014/main" id="{14D7E185-1029-8D94-ED5A-F540DC1C29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horizontal bar chart showing soil indicators ranked by the experts in the industry reference group. Water stable aggregates is ranked highest and soil foodweb analysis lowest.">
                      <a:extLst>
                        <a:ext uri="{FF2B5EF4-FFF2-40B4-BE49-F238E27FC236}">
                          <a16:creationId xmlns:a16="http://schemas.microsoft.com/office/drawing/2014/main" id="{14D7E185-1029-8D94-ED5A-F540DC1C293B}"/>
                        </a:ext>
                      </a:extLst>
                    </pic:cNvPr>
                    <pic:cNvPicPr>
                      <a:picLocks noChangeAspect="1"/>
                    </pic:cNvPicPr>
                  </pic:nvPicPr>
                  <pic:blipFill>
                    <a:blip r:embed="rId34"/>
                    <a:stretch>
                      <a:fillRect/>
                    </a:stretch>
                  </pic:blipFill>
                  <pic:spPr>
                    <a:xfrm>
                      <a:off x="0" y="0"/>
                      <a:ext cx="5759450" cy="1856673"/>
                    </a:xfrm>
                    <a:prstGeom prst="rect">
                      <a:avLst/>
                    </a:prstGeom>
                    <a:ln>
                      <a:solidFill>
                        <a:schemeClr val="bg1">
                          <a:lumMod val="75000"/>
                        </a:schemeClr>
                      </a:solidFill>
                    </a:ln>
                  </pic:spPr>
                </pic:pic>
              </a:graphicData>
            </a:graphic>
          </wp:inline>
        </w:drawing>
      </w:r>
    </w:p>
    <w:p w14:paraId="5B1FA0D4" w14:textId="4BA780F1" w:rsidR="007516FA" w:rsidRPr="007516FA" w:rsidRDefault="007516FA" w:rsidP="007516FA">
      <w:pPr>
        <w:spacing w:line="278" w:lineRule="auto"/>
        <w:rPr>
          <w:rFonts w:asciiTheme="minorHAnsi" w:hAnsiTheme="minorHAnsi" w:cstheme="minorHAnsi"/>
        </w:rPr>
      </w:pPr>
      <w:r>
        <w:rPr>
          <w:rFonts w:asciiTheme="minorHAnsi" w:hAnsiTheme="minorHAnsi" w:cstheme="minorHAnsi"/>
        </w:rPr>
        <w:t>Figure 5</w:t>
      </w:r>
      <w:r w:rsidRPr="007516FA">
        <w:rPr>
          <w:rFonts w:asciiTheme="minorHAnsi" w:hAnsiTheme="minorHAnsi" w:cstheme="minorHAnsi"/>
        </w:rPr>
        <w:t xml:space="preserve"> shows a ranked list of 10 soil health indicators on the left, with horizontal bars on the right representing their relative importance based on expert scoring.</w:t>
      </w:r>
    </w:p>
    <w:p w14:paraId="08A5149A" w14:textId="77777777" w:rsidR="007516FA" w:rsidRPr="007516FA" w:rsidRDefault="007516FA" w:rsidP="007516FA">
      <w:pPr>
        <w:spacing w:line="278" w:lineRule="auto"/>
        <w:rPr>
          <w:rFonts w:asciiTheme="minorHAnsi" w:hAnsiTheme="minorHAnsi" w:cstheme="minorHAnsi"/>
        </w:rPr>
      </w:pPr>
      <w:r w:rsidRPr="007516FA">
        <w:rPr>
          <w:rFonts w:asciiTheme="minorHAnsi" w:hAnsiTheme="minorHAnsi" w:cstheme="minorHAnsi"/>
        </w:rPr>
        <w:t>Indicators are listed from highest to lowest ranking:</w:t>
      </w:r>
    </w:p>
    <w:p w14:paraId="5CC4B75F" w14:textId="7AFD8E0C" w:rsidR="007516FA" w:rsidRPr="00196C50" w:rsidRDefault="007516FA" w:rsidP="00196C50">
      <w:pPr>
        <w:pStyle w:val="ListParagraph"/>
        <w:numPr>
          <w:ilvl w:val="0"/>
          <w:numId w:val="35"/>
        </w:numPr>
        <w:spacing w:line="278" w:lineRule="auto"/>
        <w:rPr>
          <w:rFonts w:asciiTheme="minorHAnsi" w:hAnsiTheme="minorHAnsi" w:cstheme="minorHAnsi"/>
        </w:rPr>
      </w:pPr>
      <w:r w:rsidRPr="00196C50">
        <w:rPr>
          <w:rFonts w:asciiTheme="minorHAnsi" w:hAnsiTheme="minorHAnsi" w:cstheme="minorHAnsi"/>
        </w:rPr>
        <w:t>Water stable aggregates (longest bar – highest ranked)</w:t>
      </w:r>
      <w:r>
        <w:rPr>
          <w:rFonts w:asciiTheme="minorHAnsi" w:hAnsiTheme="minorHAnsi" w:cstheme="minorHAnsi"/>
        </w:rPr>
        <w:t>.</w:t>
      </w:r>
    </w:p>
    <w:p w14:paraId="01BB8D75" w14:textId="41E1469C" w:rsidR="007516FA" w:rsidRPr="00196C50" w:rsidRDefault="007516FA" w:rsidP="00196C50">
      <w:pPr>
        <w:pStyle w:val="ListParagraph"/>
        <w:numPr>
          <w:ilvl w:val="0"/>
          <w:numId w:val="35"/>
        </w:numPr>
        <w:spacing w:line="278" w:lineRule="auto"/>
        <w:rPr>
          <w:rFonts w:asciiTheme="minorHAnsi" w:hAnsiTheme="minorHAnsi" w:cstheme="minorHAnsi"/>
        </w:rPr>
      </w:pPr>
      <w:r w:rsidRPr="00196C50">
        <w:rPr>
          <w:rFonts w:asciiTheme="minorHAnsi" w:hAnsiTheme="minorHAnsi" w:cstheme="minorHAnsi"/>
        </w:rPr>
        <w:t>Potentially mineralisable nitrogen</w:t>
      </w:r>
      <w:r>
        <w:rPr>
          <w:rFonts w:asciiTheme="minorHAnsi" w:hAnsiTheme="minorHAnsi" w:cstheme="minorHAnsi"/>
        </w:rPr>
        <w:t>.</w:t>
      </w:r>
    </w:p>
    <w:p w14:paraId="132E8218" w14:textId="750DE82B" w:rsidR="007516FA" w:rsidRPr="00196C50" w:rsidRDefault="007516FA" w:rsidP="00196C50">
      <w:pPr>
        <w:pStyle w:val="ListParagraph"/>
        <w:numPr>
          <w:ilvl w:val="0"/>
          <w:numId w:val="35"/>
        </w:numPr>
        <w:spacing w:line="278" w:lineRule="auto"/>
        <w:rPr>
          <w:rFonts w:asciiTheme="minorHAnsi" w:hAnsiTheme="minorHAnsi" w:cstheme="minorHAnsi"/>
        </w:rPr>
      </w:pPr>
      <w:r w:rsidRPr="00196C50">
        <w:rPr>
          <w:rFonts w:asciiTheme="minorHAnsi" w:hAnsiTheme="minorHAnsi" w:cstheme="minorHAnsi"/>
        </w:rPr>
        <w:t>Earthworms</w:t>
      </w:r>
      <w:r>
        <w:rPr>
          <w:rFonts w:asciiTheme="minorHAnsi" w:hAnsiTheme="minorHAnsi" w:cstheme="minorHAnsi"/>
        </w:rPr>
        <w:t>.</w:t>
      </w:r>
    </w:p>
    <w:p w14:paraId="7A419C39" w14:textId="2CFE5B03" w:rsidR="007516FA" w:rsidRPr="00196C50" w:rsidRDefault="007516FA" w:rsidP="00196C50">
      <w:pPr>
        <w:pStyle w:val="ListParagraph"/>
        <w:numPr>
          <w:ilvl w:val="0"/>
          <w:numId w:val="35"/>
        </w:numPr>
        <w:spacing w:line="278" w:lineRule="auto"/>
        <w:rPr>
          <w:rFonts w:asciiTheme="minorHAnsi" w:hAnsiTheme="minorHAnsi" w:cstheme="minorHAnsi"/>
        </w:rPr>
      </w:pPr>
      <w:r w:rsidRPr="00196C50">
        <w:rPr>
          <w:rFonts w:asciiTheme="minorHAnsi" w:hAnsiTheme="minorHAnsi" w:cstheme="minorHAnsi"/>
        </w:rPr>
        <w:t>Crop rooting</w:t>
      </w:r>
      <w:r>
        <w:rPr>
          <w:rFonts w:asciiTheme="minorHAnsi" w:hAnsiTheme="minorHAnsi" w:cstheme="minorHAnsi"/>
        </w:rPr>
        <w:t>.</w:t>
      </w:r>
    </w:p>
    <w:p w14:paraId="42132ED1" w14:textId="65698B33" w:rsidR="007516FA" w:rsidRPr="00196C50" w:rsidRDefault="007516FA" w:rsidP="00196C50">
      <w:pPr>
        <w:pStyle w:val="ListParagraph"/>
        <w:numPr>
          <w:ilvl w:val="0"/>
          <w:numId w:val="35"/>
        </w:numPr>
        <w:spacing w:line="278" w:lineRule="auto"/>
        <w:rPr>
          <w:rFonts w:asciiTheme="minorHAnsi" w:hAnsiTheme="minorHAnsi" w:cstheme="minorHAnsi"/>
        </w:rPr>
      </w:pPr>
      <w:r w:rsidRPr="00196C50">
        <w:rPr>
          <w:rFonts w:asciiTheme="minorHAnsi" w:hAnsiTheme="minorHAnsi" w:cstheme="minorHAnsi"/>
        </w:rPr>
        <w:t>CO</w:t>
      </w:r>
      <w:r w:rsidRPr="00DB4EB6">
        <w:rPr>
          <w:rFonts w:asciiTheme="minorHAnsi" w:hAnsiTheme="minorHAnsi" w:cstheme="minorHAnsi"/>
          <w:vertAlign w:val="subscript"/>
        </w:rPr>
        <w:t>2</w:t>
      </w:r>
      <w:r w:rsidRPr="00196C50">
        <w:rPr>
          <w:rFonts w:asciiTheme="minorHAnsi" w:hAnsiTheme="minorHAnsi" w:cstheme="minorHAnsi"/>
        </w:rPr>
        <w:t xml:space="preserve"> burst</w:t>
      </w:r>
      <w:r>
        <w:rPr>
          <w:rFonts w:asciiTheme="minorHAnsi" w:hAnsiTheme="minorHAnsi" w:cstheme="minorHAnsi"/>
        </w:rPr>
        <w:t>.</w:t>
      </w:r>
    </w:p>
    <w:p w14:paraId="74F7E85B" w14:textId="5C823AB8" w:rsidR="007516FA" w:rsidRPr="00196C50" w:rsidRDefault="007516FA" w:rsidP="00196C50">
      <w:pPr>
        <w:pStyle w:val="ListParagraph"/>
        <w:numPr>
          <w:ilvl w:val="0"/>
          <w:numId w:val="35"/>
        </w:numPr>
        <w:spacing w:line="278" w:lineRule="auto"/>
        <w:rPr>
          <w:rFonts w:asciiTheme="minorHAnsi" w:hAnsiTheme="minorHAnsi" w:cstheme="minorHAnsi"/>
        </w:rPr>
      </w:pPr>
      <w:r w:rsidRPr="00196C50">
        <w:rPr>
          <w:rFonts w:asciiTheme="minorHAnsi" w:hAnsiTheme="minorHAnsi" w:cstheme="minorHAnsi"/>
        </w:rPr>
        <w:t>Functional genes (qPCR)</w:t>
      </w:r>
      <w:r>
        <w:rPr>
          <w:rFonts w:asciiTheme="minorHAnsi" w:hAnsiTheme="minorHAnsi" w:cstheme="minorHAnsi"/>
        </w:rPr>
        <w:t>.</w:t>
      </w:r>
    </w:p>
    <w:p w14:paraId="6599E27E" w14:textId="434FDACB" w:rsidR="007516FA" w:rsidRPr="00196C50" w:rsidRDefault="007516FA" w:rsidP="00196C50">
      <w:pPr>
        <w:pStyle w:val="ListParagraph"/>
        <w:numPr>
          <w:ilvl w:val="0"/>
          <w:numId w:val="35"/>
        </w:numPr>
        <w:spacing w:line="278" w:lineRule="auto"/>
        <w:rPr>
          <w:rFonts w:asciiTheme="minorHAnsi" w:hAnsiTheme="minorHAnsi" w:cstheme="minorHAnsi"/>
        </w:rPr>
      </w:pPr>
      <w:r w:rsidRPr="00196C50">
        <w:rPr>
          <w:rFonts w:asciiTheme="minorHAnsi" w:hAnsiTheme="minorHAnsi" w:cstheme="minorHAnsi"/>
        </w:rPr>
        <w:t>Soil carbon fractions</w:t>
      </w:r>
      <w:r>
        <w:rPr>
          <w:rFonts w:asciiTheme="minorHAnsi" w:hAnsiTheme="minorHAnsi" w:cstheme="minorHAnsi"/>
        </w:rPr>
        <w:t>.</w:t>
      </w:r>
    </w:p>
    <w:p w14:paraId="5B92EA4B" w14:textId="48DA371E" w:rsidR="007516FA" w:rsidRPr="00196C50" w:rsidRDefault="007516FA" w:rsidP="00196C50">
      <w:pPr>
        <w:pStyle w:val="ListParagraph"/>
        <w:numPr>
          <w:ilvl w:val="0"/>
          <w:numId w:val="35"/>
        </w:numPr>
        <w:spacing w:line="278" w:lineRule="auto"/>
        <w:rPr>
          <w:rFonts w:asciiTheme="minorHAnsi" w:hAnsiTheme="minorHAnsi" w:cstheme="minorHAnsi"/>
        </w:rPr>
      </w:pPr>
      <w:r w:rsidRPr="00196C50">
        <w:rPr>
          <w:rFonts w:asciiTheme="minorHAnsi" w:hAnsiTheme="minorHAnsi" w:cstheme="minorHAnsi"/>
        </w:rPr>
        <w:t>Enzyme assays</w:t>
      </w:r>
      <w:r>
        <w:rPr>
          <w:rFonts w:asciiTheme="minorHAnsi" w:hAnsiTheme="minorHAnsi" w:cstheme="minorHAnsi"/>
        </w:rPr>
        <w:t>.</w:t>
      </w:r>
    </w:p>
    <w:p w14:paraId="2E331604" w14:textId="26F10D03" w:rsidR="007516FA" w:rsidRPr="00196C50" w:rsidRDefault="007516FA" w:rsidP="00196C50">
      <w:pPr>
        <w:pStyle w:val="ListParagraph"/>
        <w:numPr>
          <w:ilvl w:val="0"/>
          <w:numId w:val="35"/>
        </w:numPr>
        <w:spacing w:line="278" w:lineRule="auto"/>
        <w:rPr>
          <w:rFonts w:asciiTheme="minorHAnsi" w:hAnsiTheme="minorHAnsi" w:cstheme="minorHAnsi"/>
        </w:rPr>
      </w:pPr>
      <w:r w:rsidRPr="00196C50">
        <w:rPr>
          <w:rFonts w:asciiTheme="minorHAnsi" w:hAnsiTheme="minorHAnsi" w:cstheme="minorHAnsi"/>
        </w:rPr>
        <w:t>PLFA</w:t>
      </w:r>
      <w:r>
        <w:rPr>
          <w:rFonts w:asciiTheme="minorHAnsi" w:hAnsiTheme="minorHAnsi" w:cstheme="minorHAnsi"/>
        </w:rPr>
        <w:t>.</w:t>
      </w:r>
    </w:p>
    <w:p w14:paraId="78E057F7" w14:textId="6B36F35D" w:rsidR="007516FA" w:rsidRPr="00196C50" w:rsidRDefault="007516FA" w:rsidP="00196C50">
      <w:pPr>
        <w:pStyle w:val="ListParagraph"/>
        <w:numPr>
          <w:ilvl w:val="0"/>
          <w:numId w:val="35"/>
        </w:numPr>
        <w:spacing w:line="278" w:lineRule="auto"/>
        <w:rPr>
          <w:rFonts w:asciiTheme="minorHAnsi" w:hAnsiTheme="minorHAnsi" w:cstheme="minorHAnsi"/>
        </w:rPr>
      </w:pPr>
      <w:r w:rsidRPr="00196C50">
        <w:rPr>
          <w:rFonts w:asciiTheme="minorHAnsi" w:hAnsiTheme="minorHAnsi" w:cstheme="minorHAnsi"/>
        </w:rPr>
        <w:t>Soil food web analysis (shortest bar – lowest ranked)</w:t>
      </w:r>
      <w:r>
        <w:rPr>
          <w:rFonts w:asciiTheme="minorHAnsi" w:hAnsiTheme="minorHAnsi" w:cstheme="minorHAnsi"/>
        </w:rPr>
        <w:t>.</w:t>
      </w:r>
    </w:p>
    <w:p w14:paraId="33A99F35" w14:textId="77777777" w:rsidR="007516FA" w:rsidRPr="007516FA" w:rsidRDefault="007516FA" w:rsidP="007516FA">
      <w:pPr>
        <w:spacing w:line="278" w:lineRule="auto"/>
        <w:rPr>
          <w:rFonts w:asciiTheme="minorHAnsi" w:hAnsiTheme="minorHAnsi" w:cstheme="minorHAnsi"/>
        </w:rPr>
      </w:pPr>
      <w:r w:rsidRPr="007516FA">
        <w:rPr>
          <w:rFonts w:asciiTheme="minorHAnsi" w:hAnsiTheme="minorHAnsi" w:cstheme="minorHAnsi"/>
        </w:rPr>
        <w:t>The bars decrease in length from top to bottom, showing a gradual decline in ranking scores.</w:t>
      </w:r>
    </w:p>
    <w:p w14:paraId="55923793" w14:textId="77777777" w:rsidR="000E00E0" w:rsidRPr="007516FA" w:rsidRDefault="000E00E0" w:rsidP="000E00E0">
      <w:pPr>
        <w:spacing w:line="278" w:lineRule="auto"/>
        <w:rPr>
          <w:rFonts w:asciiTheme="minorHAnsi" w:hAnsiTheme="minorHAnsi" w:cstheme="minorHAnsi"/>
        </w:rPr>
      </w:pPr>
      <w:r w:rsidRPr="007516FA">
        <w:rPr>
          <w:rFonts w:asciiTheme="minorHAnsi" w:hAnsiTheme="minorHAnsi" w:cstheme="minorHAnsi"/>
        </w:rPr>
        <w:t>Overall pattern:</w:t>
      </w:r>
    </w:p>
    <w:p w14:paraId="656AE036" w14:textId="77777777" w:rsidR="000E00E0" w:rsidRPr="007516FA" w:rsidRDefault="000E00E0" w:rsidP="000E00E0">
      <w:pPr>
        <w:spacing w:line="278" w:lineRule="auto"/>
        <w:rPr>
          <w:rFonts w:asciiTheme="minorHAnsi" w:hAnsiTheme="minorHAnsi" w:cstheme="minorHAnsi"/>
        </w:rPr>
      </w:pPr>
      <w:r w:rsidRPr="007516FA">
        <w:rPr>
          <w:rFonts w:asciiTheme="minorHAnsi" w:hAnsiTheme="minorHAnsi" w:cstheme="minorHAnsi"/>
        </w:rPr>
        <w:t>Physical and biological indicators such as aggregate stability, nitrogen availability, and earthworms are ranked highest.</w:t>
      </w:r>
    </w:p>
    <w:p w14:paraId="50286157" w14:textId="77777777" w:rsidR="000E00E0" w:rsidRPr="00EB1D71" w:rsidRDefault="000E00E0" w:rsidP="000E00E0">
      <w:pPr>
        <w:spacing w:line="278" w:lineRule="auto"/>
        <w:rPr>
          <w:rFonts w:asciiTheme="minorHAnsi" w:hAnsiTheme="minorHAnsi" w:cstheme="minorHAnsi"/>
        </w:rPr>
      </w:pPr>
      <w:r w:rsidRPr="007516FA">
        <w:rPr>
          <w:rFonts w:asciiTheme="minorHAnsi" w:hAnsiTheme="minorHAnsi" w:cstheme="minorHAnsi"/>
        </w:rPr>
        <w:t>More complex or laboratory-based measures, such as PLFA and soil food web analysis, are ranked lower.</w:t>
      </w:r>
    </w:p>
    <w:p w14:paraId="17853F21" w14:textId="77777777" w:rsidR="000E00E0" w:rsidRDefault="000E00E0" w:rsidP="00B61993">
      <w:pPr>
        <w:rPr>
          <w:rFonts w:asciiTheme="minorHAnsi" w:hAnsiTheme="minorHAnsi" w:cstheme="minorHAnsi"/>
        </w:rPr>
      </w:pPr>
    </w:p>
    <w:p w14:paraId="2DD94A57" w14:textId="036D69EC" w:rsidR="00355DB9" w:rsidRPr="00EB1D71" w:rsidRDefault="00355DB9" w:rsidP="00B61993">
      <w:pPr>
        <w:rPr>
          <w:rFonts w:asciiTheme="minorHAnsi" w:hAnsiTheme="minorHAnsi" w:cstheme="minorHAnsi"/>
        </w:rPr>
      </w:pPr>
      <w:r w:rsidRPr="00EB1D71">
        <w:rPr>
          <w:rFonts w:asciiTheme="minorHAnsi" w:hAnsiTheme="minorHAnsi" w:cstheme="minorHAnsi"/>
        </w:rPr>
        <w:lastRenderedPageBreak/>
        <w:t>The comments collected from both the surveys and compiled from the workshop discussions were summarised using AI to provide a representation of expert opinion on each of the indicators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_Ref226034374 \h </w:instrText>
      </w:r>
      <w:r w:rsidR="00AB0486"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7</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This provides useful explanatory information about the reasons for the final ranks. Soil carbon fractions and specifically those representing “active C” (POXC, HWEC) were considered the most promising because they were considered sensitive to management and relatively easy to measure (in a laboratory). Earthworms were also considered very useful indicators but were excluded from the final list for reasons outlined below. Crop rooting/</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could be conducted by farmers and was perceived to have a strong link to soil physical conditions and related functions. </w:t>
      </w:r>
    </w:p>
    <w:p w14:paraId="694CBC6D" w14:textId="77777777" w:rsidR="00355DB9" w:rsidRPr="00EB1D71" w:rsidRDefault="00355DB9" w:rsidP="00B61993">
      <w:pPr>
        <w:rPr>
          <w:rFonts w:asciiTheme="minorHAnsi" w:hAnsiTheme="minorHAnsi" w:cstheme="minorHAnsi"/>
        </w:rPr>
      </w:pPr>
      <w:r w:rsidRPr="00EB1D71">
        <w:rPr>
          <w:rFonts w:asciiTheme="minorHAnsi" w:hAnsiTheme="minorHAnsi" w:cstheme="minorHAnsi"/>
        </w:rPr>
        <w:t>Aggregate stability was also strongly linked to functions, although concerns about accessibility of laboratory testing and reliability of farmer-led (e.g. slake tests) assessments were raised. The comments on PMN were moderately positive, with some concerns about a weak link to functions and the need to provide more refined thresholds for interpretation.</w:t>
      </w:r>
    </w:p>
    <w:p w14:paraId="0B379153" w14:textId="77777777" w:rsidR="00E34291" w:rsidRPr="00EB1D71" w:rsidRDefault="00E34291" w:rsidP="00355DB9">
      <w:pPr>
        <w:rPr>
          <w:rFonts w:asciiTheme="minorHAnsi" w:hAnsiTheme="minorHAnsi" w:cstheme="minorHAnsi"/>
        </w:rPr>
      </w:pPr>
    </w:p>
    <w:p w14:paraId="30205B07" w14:textId="77777777" w:rsidR="00355DB9" w:rsidRPr="00EB1D71" w:rsidRDefault="00355DB9">
      <w:pPr>
        <w:spacing w:line="278" w:lineRule="auto"/>
        <w:rPr>
          <w:rFonts w:asciiTheme="minorHAnsi" w:hAnsiTheme="minorHAnsi" w:cstheme="minorHAnsi"/>
        </w:rPr>
        <w:sectPr w:rsidR="00355DB9" w:rsidRPr="00EB1D71" w:rsidSect="00A635D2">
          <w:headerReference w:type="even" r:id="rId35"/>
          <w:headerReference w:type="default" r:id="rId36"/>
          <w:headerReference w:type="first" r:id="rId37"/>
          <w:footerReference w:type="first" r:id="rId38"/>
          <w:pgSz w:w="11906" w:h="16838"/>
          <w:pgMar w:top="1418" w:right="1418" w:bottom="1418" w:left="1418" w:header="709" w:footer="454" w:gutter="0"/>
          <w:cols w:space="708"/>
          <w:docGrid w:linePitch="360"/>
        </w:sectPr>
      </w:pPr>
    </w:p>
    <w:p w14:paraId="352D6243" w14:textId="321116E9" w:rsidR="00355DB9" w:rsidRPr="00EB1D71" w:rsidRDefault="00355DB9" w:rsidP="00355DB9">
      <w:pPr>
        <w:pStyle w:val="Caption"/>
        <w:keepNext/>
        <w:spacing w:after="0"/>
        <w:rPr>
          <w:rFonts w:asciiTheme="minorHAnsi" w:hAnsiTheme="minorHAnsi" w:cstheme="minorHAnsi"/>
        </w:rPr>
      </w:pPr>
      <w:bookmarkStart w:id="49" w:name="_Ref226034374"/>
      <w:bookmarkStart w:id="50" w:name="_Toc228622113"/>
      <w:r w:rsidRPr="00EB1D71">
        <w:rPr>
          <w:rFonts w:asciiTheme="minorHAnsi" w:hAnsiTheme="minorHAnsi" w:cstheme="minorHAnsi"/>
        </w:rPr>
        <w:lastRenderedPageBreak/>
        <w:t xml:space="preserve">Table </w:t>
      </w:r>
      <w:r w:rsidR="009A568B" w:rsidRPr="00EB1D71">
        <w:rPr>
          <w:rFonts w:asciiTheme="minorHAnsi" w:hAnsiTheme="minorHAnsi" w:cstheme="minorHAnsi"/>
        </w:rPr>
        <w:fldChar w:fldCharType="begin"/>
      </w:r>
      <w:r w:rsidR="009A568B" w:rsidRPr="00EB1D71">
        <w:rPr>
          <w:rFonts w:asciiTheme="minorHAnsi" w:hAnsiTheme="minorHAnsi" w:cstheme="minorHAnsi"/>
        </w:rPr>
        <w:instrText xml:space="preserve"> SEQ Table \* ARABIC </w:instrText>
      </w:r>
      <w:r w:rsidR="009A568B" w:rsidRPr="00EB1D71">
        <w:rPr>
          <w:rFonts w:asciiTheme="minorHAnsi" w:hAnsiTheme="minorHAnsi" w:cstheme="minorHAnsi"/>
        </w:rPr>
        <w:fldChar w:fldCharType="separate"/>
      </w:r>
      <w:r w:rsidR="00C400DA">
        <w:rPr>
          <w:rFonts w:asciiTheme="minorHAnsi" w:hAnsiTheme="minorHAnsi" w:cstheme="minorHAnsi"/>
          <w:noProof/>
        </w:rPr>
        <w:t>7</w:t>
      </w:r>
      <w:r w:rsidR="009A568B" w:rsidRPr="00EB1D71">
        <w:rPr>
          <w:rFonts w:asciiTheme="minorHAnsi" w:hAnsiTheme="minorHAnsi" w:cstheme="minorHAnsi"/>
          <w:noProof/>
        </w:rPr>
        <w:fldChar w:fldCharType="end"/>
      </w:r>
      <w:bookmarkEnd w:id="49"/>
      <w:r w:rsidRPr="00EB1D71">
        <w:rPr>
          <w:rFonts w:asciiTheme="minorHAnsi" w:hAnsiTheme="minorHAnsi" w:cstheme="minorHAnsi"/>
          <w:noProof/>
        </w:rPr>
        <w:t>.</w:t>
      </w:r>
      <w:r w:rsidRPr="00EB1D71">
        <w:rPr>
          <w:rFonts w:asciiTheme="minorHAnsi" w:hAnsiTheme="minorHAnsi" w:cstheme="minorHAnsi"/>
        </w:rPr>
        <w:t xml:space="preserve"> Synthesis of comments from the Industry Reference Group from both surveys and the workshop, on each of the 10 long-listed indicators during the Delphi process. Comments summarised and ranked in order from most positive to least positive, using AI.</w:t>
      </w:r>
      <w:bookmarkEnd w:id="50"/>
    </w:p>
    <w:tbl>
      <w:tblPr>
        <w:tblStyle w:val="TableGrid"/>
        <w:tblW w:w="5000" w:type="pct"/>
        <w:tblLook w:val="04A0" w:firstRow="1" w:lastRow="0" w:firstColumn="1" w:lastColumn="0" w:noHBand="0" w:noVBand="1"/>
      </w:tblPr>
      <w:tblGrid>
        <w:gridCol w:w="2121"/>
        <w:gridCol w:w="11871"/>
      </w:tblGrid>
      <w:tr w:rsidR="00355DB9" w:rsidRPr="00EB1D71" w14:paraId="241999D6" w14:textId="77777777" w:rsidTr="00355D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pct"/>
          </w:tcPr>
          <w:p w14:paraId="35F619F9" w14:textId="77777777" w:rsidR="00355DB9" w:rsidRPr="00B22117" w:rsidRDefault="00355DB9" w:rsidP="002A1C7C">
            <w:pPr>
              <w:pStyle w:val="TableHeading-centred-bold"/>
            </w:pPr>
            <w:r w:rsidRPr="002A1C7C">
              <w:rPr>
                <w:b/>
              </w:rPr>
              <w:t>Indicator</w:t>
            </w:r>
          </w:p>
        </w:tc>
        <w:tc>
          <w:tcPr>
            <w:tcW w:w="4242" w:type="pct"/>
          </w:tcPr>
          <w:p w14:paraId="3D4F3E66" w14:textId="77777777" w:rsidR="00355DB9" w:rsidRPr="00B22117" w:rsidRDefault="00355DB9"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Synthesis of text comments</w:t>
            </w:r>
          </w:p>
        </w:tc>
      </w:tr>
      <w:tr w:rsidR="00355DB9" w:rsidRPr="00EB1D71" w14:paraId="3F123B7D" w14:textId="77777777" w:rsidTr="00355DB9">
        <w:tc>
          <w:tcPr>
            <w:cnfStyle w:val="001000000000" w:firstRow="0" w:lastRow="0" w:firstColumn="1" w:lastColumn="0" w:oddVBand="0" w:evenVBand="0" w:oddHBand="0" w:evenHBand="0" w:firstRowFirstColumn="0" w:firstRowLastColumn="0" w:lastRowFirstColumn="0" w:lastRowLastColumn="0"/>
            <w:tcW w:w="758" w:type="pct"/>
          </w:tcPr>
          <w:p w14:paraId="052F64DD" w14:textId="77777777" w:rsidR="00355DB9" w:rsidRPr="002A1C7C" w:rsidRDefault="00355DB9" w:rsidP="002A1C7C">
            <w:pPr>
              <w:pStyle w:val="Table-Body-leftaligned"/>
              <w:rPr>
                <w:b w:val="0"/>
                <w:bCs/>
              </w:rPr>
            </w:pPr>
            <w:r w:rsidRPr="00584811">
              <w:rPr>
                <w:bCs/>
              </w:rPr>
              <w:t>Soil C fractions</w:t>
            </w:r>
          </w:p>
        </w:tc>
        <w:tc>
          <w:tcPr>
            <w:tcW w:w="4242" w:type="pct"/>
          </w:tcPr>
          <w:p w14:paraId="70747750" w14:textId="1CC7CB87" w:rsidR="00355DB9" w:rsidRPr="00FC2222" w:rsidRDefault="00355DB9"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Soil carbon fractions (e.g. POXC, HWEC) are considered sensitive to management and relatively easy to measure, making them strong candidates as early indicators. They reflect active carbon pools linked to microbial activity, though may not represent long-term carbon storage. Interpretation remains a challenge, particularly in linking results to soil function. Some fractionation methods are complex and expensive, but overall, this is seen as one of the most promising and responsive indicator groups.</w:t>
            </w:r>
          </w:p>
        </w:tc>
      </w:tr>
      <w:tr w:rsidR="00355DB9" w:rsidRPr="00EB1D71" w14:paraId="47E7C16E" w14:textId="77777777" w:rsidTr="00355DB9">
        <w:tc>
          <w:tcPr>
            <w:cnfStyle w:val="001000000000" w:firstRow="0" w:lastRow="0" w:firstColumn="1" w:lastColumn="0" w:oddVBand="0" w:evenVBand="0" w:oddHBand="0" w:evenHBand="0" w:firstRowFirstColumn="0" w:firstRowLastColumn="0" w:lastRowFirstColumn="0" w:lastRowLastColumn="0"/>
            <w:tcW w:w="758" w:type="pct"/>
          </w:tcPr>
          <w:p w14:paraId="3980F4F7" w14:textId="77777777" w:rsidR="00355DB9" w:rsidRPr="002A1C7C" w:rsidRDefault="00355DB9" w:rsidP="002A1C7C">
            <w:pPr>
              <w:pStyle w:val="Table-Body-leftaligned"/>
              <w:rPr>
                <w:b w:val="0"/>
                <w:bCs/>
              </w:rPr>
            </w:pPr>
            <w:r w:rsidRPr="00584811">
              <w:rPr>
                <w:bCs/>
              </w:rPr>
              <w:t>Earthworms</w:t>
            </w:r>
          </w:p>
        </w:tc>
        <w:tc>
          <w:tcPr>
            <w:tcW w:w="4242" w:type="pct"/>
          </w:tcPr>
          <w:p w14:paraId="2342774E" w14:textId="77777777" w:rsidR="00355DB9" w:rsidRPr="00FC2222" w:rsidRDefault="00355DB9"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 xml:space="preserve">Earthworms are a simple, farmer-friendly indicator already included in existing soil health scorecards. They can be linked to soil functions such as structure and nutrient cycling, but responses may </w:t>
            </w:r>
            <w:proofErr w:type="gramStart"/>
            <w:r w:rsidRPr="00FC2222">
              <w:rPr>
                <w:bCs/>
              </w:rPr>
              <w:t>lag behind</w:t>
            </w:r>
            <w:proofErr w:type="gramEnd"/>
            <w:r w:rsidRPr="00FC2222">
              <w:rPr>
                <w:bCs/>
              </w:rPr>
              <w:t xml:space="preserve"> management changes. Their usefulness varies with soil type (e.g. less reliable in sandy soils), and there is a need to refine thresholds and interpretation. Despite limitations, they remain a practical and accessible indicator.</w:t>
            </w:r>
          </w:p>
        </w:tc>
      </w:tr>
      <w:tr w:rsidR="00355DB9" w:rsidRPr="00EB1D71" w14:paraId="4AEE9357" w14:textId="77777777" w:rsidTr="00355DB9">
        <w:tc>
          <w:tcPr>
            <w:cnfStyle w:val="001000000000" w:firstRow="0" w:lastRow="0" w:firstColumn="1" w:lastColumn="0" w:oddVBand="0" w:evenVBand="0" w:oddHBand="0" w:evenHBand="0" w:firstRowFirstColumn="0" w:firstRowLastColumn="0" w:lastRowFirstColumn="0" w:lastRowLastColumn="0"/>
            <w:tcW w:w="758" w:type="pct"/>
          </w:tcPr>
          <w:p w14:paraId="20F4677D" w14:textId="769E68D8" w:rsidR="00355DB9" w:rsidRPr="002A1C7C" w:rsidRDefault="00355DB9" w:rsidP="002A1C7C">
            <w:pPr>
              <w:pStyle w:val="Table-Body-leftaligned"/>
              <w:rPr>
                <w:b w:val="0"/>
                <w:bCs/>
              </w:rPr>
            </w:pPr>
            <w:r w:rsidRPr="00584811">
              <w:rPr>
                <w:bCs/>
              </w:rPr>
              <w:t>Crop rooting/</w:t>
            </w:r>
            <w:r w:rsidR="006D2B2F" w:rsidRPr="00584811">
              <w:rPr>
                <w:bCs/>
              </w:rPr>
              <w:t xml:space="preserve"> </w:t>
            </w:r>
            <w:proofErr w:type="spellStart"/>
            <w:r w:rsidRPr="00584811">
              <w:rPr>
                <w:bCs/>
              </w:rPr>
              <w:t>shovelomics</w:t>
            </w:r>
            <w:proofErr w:type="spellEnd"/>
          </w:p>
        </w:tc>
        <w:tc>
          <w:tcPr>
            <w:tcW w:w="4242" w:type="pct"/>
          </w:tcPr>
          <w:p w14:paraId="5B32E7AC" w14:textId="77777777" w:rsidR="00355DB9" w:rsidRPr="00FC2222" w:rsidRDefault="00355DB9"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Crop rooting provides a direct, field-based indication of soil physical condition and function, using the crop as an integrator of soil processes. It is practical and relevant to farmers but requires training for consistent assessment. It is considered a useful indicator of soil structure, porosity and water relations, and may offer good sensitivity to management, although standardisation and interpretation frameworks need development.</w:t>
            </w:r>
          </w:p>
        </w:tc>
      </w:tr>
      <w:tr w:rsidR="00355DB9" w:rsidRPr="00EB1D71" w14:paraId="43FD51EB" w14:textId="77777777" w:rsidTr="00355DB9">
        <w:tc>
          <w:tcPr>
            <w:cnfStyle w:val="001000000000" w:firstRow="0" w:lastRow="0" w:firstColumn="1" w:lastColumn="0" w:oddVBand="0" w:evenVBand="0" w:oddHBand="0" w:evenHBand="0" w:firstRowFirstColumn="0" w:firstRowLastColumn="0" w:lastRowFirstColumn="0" w:lastRowLastColumn="0"/>
            <w:tcW w:w="758" w:type="pct"/>
          </w:tcPr>
          <w:p w14:paraId="3D9752FD" w14:textId="77777777" w:rsidR="00355DB9" w:rsidRPr="002A1C7C" w:rsidRDefault="00355DB9" w:rsidP="002A1C7C">
            <w:pPr>
              <w:pStyle w:val="Table-Body-leftaligned"/>
              <w:rPr>
                <w:b w:val="0"/>
                <w:bCs/>
              </w:rPr>
            </w:pPr>
            <w:r w:rsidRPr="00584811">
              <w:rPr>
                <w:bCs/>
              </w:rPr>
              <w:t>Aggregate stability</w:t>
            </w:r>
          </w:p>
        </w:tc>
        <w:tc>
          <w:tcPr>
            <w:tcW w:w="4242" w:type="pct"/>
          </w:tcPr>
          <w:p w14:paraId="71577A57" w14:textId="77777777" w:rsidR="00355DB9" w:rsidRPr="00FC2222" w:rsidRDefault="00355DB9"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Aggregate stability (particularly water-stable aggregates) is strongly linked to soil physical function, including water infiltration, erosion resistance and porosity. It is conceptually robust and functionally relevant, but there is some ambiguity between laboratory methods and simpler field tests (e.g. slake test). Laboratory approaches are more reliable but less accessible. Overall, it is considered a meaningful indicator of soil physical health.</w:t>
            </w:r>
          </w:p>
        </w:tc>
      </w:tr>
      <w:tr w:rsidR="00355DB9" w:rsidRPr="00EB1D71" w14:paraId="3463CDC5" w14:textId="77777777" w:rsidTr="00355DB9">
        <w:tc>
          <w:tcPr>
            <w:cnfStyle w:val="001000000000" w:firstRow="0" w:lastRow="0" w:firstColumn="1" w:lastColumn="0" w:oddVBand="0" w:evenVBand="0" w:oddHBand="0" w:evenHBand="0" w:firstRowFirstColumn="0" w:firstRowLastColumn="0" w:lastRowFirstColumn="0" w:lastRowLastColumn="0"/>
            <w:tcW w:w="758" w:type="pct"/>
          </w:tcPr>
          <w:p w14:paraId="683C7704" w14:textId="77777777" w:rsidR="00355DB9" w:rsidRPr="002A1C7C" w:rsidRDefault="00355DB9" w:rsidP="002A1C7C">
            <w:pPr>
              <w:pStyle w:val="Table-Body-leftaligned"/>
              <w:rPr>
                <w:b w:val="0"/>
                <w:bCs/>
              </w:rPr>
            </w:pPr>
            <w:r w:rsidRPr="00584811">
              <w:rPr>
                <w:bCs/>
              </w:rPr>
              <w:t xml:space="preserve">Enzyme assays </w:t>
            </w:r>
          </w:p>
        </w:tc>
        <w:tc>
          <w:tcPr>
            <w:tcW w:w="4242" w:type="pct"/>
          </w:tcPr>
          <w:p w14:paraId="72AEBBB4" w14:textId="77777777" w:rsidR="00355DB9" w:rsidRPr="00FC2222" w:rsidRDefault="00355DB9"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Enzyme assays are well-established with a strong literature base and may act as leading indicators of soil biological activity and nutrient cycling. They are relatively practical and recent advances have improved throughput. However, interpretation remains a key limitation, with results highly dependent on soil type and climate, requiring locally derived reference values. Further research is needed to link enzyme activity more clearly to soil function and to develop robust interpretation frameworks.</w:t>
            </w:r>
          </w:p>
        </w:tc>
      </w:tr>
      <w:tr w:rsidR="00355DB9" w:rsidRPr="00EB1D71" w14:paraId="10ADC7DF" w14:textId="77777777" w:rsidTr="00355DB9">
        <w:tc>
          <w:tcPr>
            <w:cnfStyle w:val="001000000000" w:firstRow="0" w:lastRow="0" w:firstColumn="1" w:lastColumn="0" w:oddVBand="0" w:evenVBand="0" w:oddHBand="0" w:evenHBand="0" w:firstRowFirstColumn="0" w:firstRowLastColumn="0" w:lastRowFirstColumn="0" w:lastRowLastColumn="0"/>
            <w:tcW w:w="758" w:type="pct"/>
          </w:tcPr>
          <w:p w14:paraId="73D9CF43" w14:textId="77777777" w:rsidR="00355DB9" w:rsidRPr="00CD7CE4" w:rsidRDefault="00355DB9" w:rsidP="002A1C7C">
            <w:pPr>
              <w:pStyle w:val="Table-Body-leftaligned"/>
              <w:rPr>
                <w:rFonts w:asciiTheme="minorHAnsi" w:hAnsiTheme="minorHAnsi"/>
              </w:rPr>
            </w:pPr>
            <w:r w:rsidRPr="00CD7CE4">
              <w:rPr>
                <w:rFonts w:asciiTheme="minorHAnsi" w:hAnsiTheme="minorHAnsi"/>
              </w:rPr>
              <w:t xml:space="preserve">Potentially mineralisable nitrogen (PMN) </w:t>
            </w:r>
          </w:p>
        </w:tc>
        <w:tc>
          <w:tcPr>
            <w:tcW w:w="4242" w:type="pct"/>
          </w:tcPr>
          <w:p w14:paraId="05F12F3C" w14:textId="77777777" w:rsidR="00355DB9" w:rsidRPr="00FC2222" w:rsidRDefault="00355DB9" w:rsidP="002A1C7C">
            <w:pPr>
              <w:pStyle w:val="Table-Body-leftaligned"/>
              <w:cnfStyle w:val="000000000000" w:firstRow="0" w:lastRow="0" w:firstColumn="0" w:lastColumn="0" w:oddVBand="0" w:evenVBand="0" w:oddHBand="0" w:evenHBand="0" w:firstRowFirstColumn="0" w:firstRowLastColumn="0" w:lastRowFirstColumn="0" w:lastRowLastColumn="0"/>
              <w:rPr>
                <w:rFonts w:asciiTheme="minorHAnsi" w:hAnsiTheme="minorHAnsi"/>
                <w:bCs/>
              </w:rPr>
            </w:pPr>
            <w:r w:rsidRPr="002A1C7C">
              <w:rPr>
                <w:bCs/>
              </w:rPr>
              <w:t>Potentially mineralisable nitrogen (PMN) is a useful biological indicator reflecting the labile nitrogen pool, but interpretation is currently limited. Existing thresholds are broad and largely based on average datasets rather than functional outcomes. It requires incubation (typically one week), reducing practicality. While useful as an indicator of nitrogen supply potential, it is not yet well linked to timing of nutrient release or wider soil functions.</w:t>
            </w:r>
          </w:p>
        </w:tc>
      </w:tr>
      <w:tr w:rsidR="00355DB9" w:rsidRPr="00EB1D71" w14:paraId="16E9CAC7" w14:textId="77777777" w:rsidTr="00355DB9">
        <w:tc>
          <w:tcPr>
            <w:cnfStyle w:val="001000000000" w:firstRow="0" w:lastRow="0" w:firstColumn="1" w:lastColumn="0" w:oddVBand="0" w:evenVBand="0" w:oddHBand="0" w:evenHBand="0" w:firstRowFirstColumn="0" w:firstRowLastColumn="0" w:lastRowFirstColumn="0" w:lastRowLastColumn="0"/>
            <w:tcW w:w="758" w:type="pct"/>
          </w:tcPr>
          <w:p w14:paraId="75D97CE4" w14:textId="77777777" w:rsidR="00355DB9" w:rsidRPr="00CD7CE4" w:rsidRDefault="00355DB9" w:rsidP="002A1C7C">
            <w:pPr>
              <w:pStyle w:val="Table-Body-leftaligned"/>
              <w:rPr>
                <w:rFonts w:asciiTheme="minorHAnsi" w:hAnsiTheme="minorHAnsi"/>
              </w:rPr>
            </w:pPr>
            <w:r w:rsidRPr="00CD7CE4">
              <w:rPr>
                <w:rFonts w:asciiTheme="minorHAnsi" w:hAnsiTheme="minorHAnsi"/>
              </w:rPr>
              <w:t>CO</w:t>
            </w:r>
            <w:r w:rsidRPr="00CD7CE4">
              <w:rPr>
                <w:rFonts w:asciiTheme="minorHAnsi" w:hAnsiTheme="minorHAnsi"/>
                <w:vertAlign w:val="subscript"/>
              </w:rPr>
              <w:t>2</w:t>
            </w:r>
            <w:r w:rsidRPr="00CD7CE4">
              <w:rPr>
                <w:rFonts w:asciiTheme="minorHAnsi" w:hAnsiTheme="minorHAnsi"/>
              </w:rPr>
              <w:t xml:space="preserve"> burst </w:t>
            </w:r>
          </w:p>
        </w:tc>
        <w:tc>
          <w:tcPr>
            <w:tcW w:w="4242" w:type="pct"/>
          </w:tcPr>
          <w:p w14:paraId="33993096" w14:textId="77777777" w:rsidR="00355DB9" w:rsidRPr="00FC2222" w:rsidRDefault="00355DB9" w:rsidP="002A1C7C">
            <w:pPr>
              <w:pStyle w:val="Table-Body-leftaligned"/>
              <w:cnfStyle w:val="000000000000" w:firstRow="0" w:lastRow="0" w:firstColumn="0" w:lastColumn="0" w:oddVBand="0" w:evenVBand="0" w:oddHBand="0" w:evenHBand="0" w:firstRowFirstColumn="0" w:firstRowLastColumn="0" w:lastRowFirstColumn="0" w:lastRowLastColumn="0"/>
              <w:rPr>
                <w:rFonts w:asciiTheme="minorHAnsi" w:hAnsiTheme="minorHAnsi"/>
                <w:bCs/>
              </w:rPr>
            </w:pPr>
            <w:r w:rsidRPr="002A1C7C">
              <w:rPr>
                <w:bCs/>
              </w:rPr>
              <w:t>CO</w:t>
            </w:r>
            <w:r w:rsidRPr="00FC2222">
              <w:rPr>
                <w:rFonts w:ascii="Cambria Math" w:hAnsi="Cambria Math" w:cs="Cambria Math"/>
                <w:bCs/>
              </w:rPr>
              <w:t>₂</w:t>
            </w:r>
            <w:r w:rsidRPr="002A1C7C">
              <w:rPr>
                <w:bCs/>
              </w:rPr>
              <w:t xml:space="preserve"> burst testing provides an indication of microbial activity, but its relationship to soil health is unclear and may require further research. It overlaps conceptually with active carbon measures but does not necessarily provide distinct or well-interpreted information. While simple to perform, its relevance as an indicator of soil function is uncertain, and clearer interpretation frameworks are needed.</w:t>
            </w:r>
          </w:p>
        </w:tc>
      </w:tr>
      <w:tr w:rsidR="00355DB9" w:rsidRPr="00EB1D71" w14:paraId="53D26AB3" w14:textId="77777777" w:rsidTr="00355DB9">
        <w:tc>
          <w:tcPr>
            <w:cnfStyle w:val="001000000000" w:firstRow="0" w:lastRow="0" w:firstColumn="1" w:lastColumn="0" w:oddVBand="0" w:evenVBand="0" w:oddHBand="0" w:evenHBand="0" w:firstRowFirstColumn="0" w:firstRowLastColumn="0" w:lastRowFirstColumn="0" w:lastRowLastColumn="0"/>
            <w:tcW w:w="758" w:type="pct"/>
          </w:tcPr>
          <w:p w14:paraId="2214F76E" w14:textId="77777777" w:rsidR="00355DB9" w:rsidRPr="002A1C7C" w:rsidRDefault="00355DB9" w:rsidP="002A1C7C">
            <w:pPr>
              <w:pStyle w:val="Table-Body-leftaligned"/>
              <w:rPr>
                <w:b w:val="0"/>
                <w:bCs/>
              </w:rPr>
            </w:pPr>
            <w:r w:rsidRPr="00584811">
              <w:rPr>
                <w:bCs/>
              </w:rPr>
              <w:lastRenderedPageBreak/>
              <w:t xml:space="preserve">Soil </w:t>
            </w:r>
            <w:proofErr w:type="spellStart"/>
            <w:r w:rsidRPr="00584811">
              <w:rPr>
                <w:bCs/>
              </w:rPr>
              <w:t>foodweb</w:t>
            </w:r>
            <w:proofErr w:type="spellEnd"/>
            <w:r w:rsidRPr="00584811">
              <w:rPr>
                <w:bCs/>
              </w:rPr>
              <w:t xml:space="preserve"> </w:t>
            </w:r>
          </w:p>
        </w:tc>
        <w:tc>
          <w:tcPr>
            <w:tcW w:w="4242" w:type="pct"/>
          </w:tcPr>
          <w:p w14:paraId="19650736" w14:textId="77777777" w:rsidR="00355DB9" w:rsidRPr="002A1C7C" w:rsidRDefault="00355DB9"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2A1C7C">
              <w:rPr>
                <w:bCs/>
              </w:rPr>
              <w:t>Soil food web analysis has gained interest, particularly in regenerative farming, but concerns exist around reliability and interpretation. Results can be inconsistent or misleading (e.g. unexpected absence of fungi), and the method requires microscopy, limiting practicality. There is currently insufficient evidence of sensitivity to management changes. Further research and larger datasets are needed to assess its effectiveness and improve confidence in its use.</w:t>
            </w:r>
          </w:p>
        </w:tc>
      </w:tr>
      <w:tr w:rsidR="00355DB9" w:rsidRPr="00EB1D71" w14:paraId="6D4DD1D4" w14:textId="77777777" w:rsidTr="00355DB9">
        <w:tc>
          <w:tcPr>
            <w:cnfStyle w:val="001000000000" w:firstRow="0" w:lastRow="0" w:firstColumn="1" w:lastColumn="0" w:oddVBand="0" w:evenVBand="0" w:oddHBand="0" w:evenHBand="0" w:firstRowFirstColumn="0" w:firstRowLastColumn="0" w:lastRowFirstColumn="0" w:lastRowLastColumn="0"/>
            <w:tcW w:w="758" w:type="pct"/>
          </w:tcPr>
          <w:p w14:paraId="4A5424D3" w14:textId="77777777" w:rsidR="00355DB9" w:rsidRPr="002A1C7C" w:rsidRDefault="00355DB9" w:rsidP="002A1C7C">
            <w:pPr>
              <w:pStyle w:val="Table-Body-leftaligned"/>
              <w:rPr>
                <w:b w:val="0"/>
                <w:bCs/>
              </w:rPr>
            </w:pPr>
            <w:r w:rsidRPr="00584811">
              <w:rPr>
                <w:bCs/>
              </w:rPr>
              <w:t xml:space="preserve">Phospholipid fatty acids (PLFA) </w:t>
            </w:r>
          </w:p>
        </w:tc>
        <w:tc>
          <w:tcPr>
            <w:tcW w:w="4242" w:type="pct"/>
          </w:tcPr>
          <w:p w14:paraId="19159DA7" w14:textId="77777777" w:rsidR="00355DB9" w:rsidRPr="002A1C7C" w:rsidRDefault="00355DB9"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2A1C7C">
              <w:rPr>
                <w:bCs/>
              </w:rPr>
              <w:t xml:space="preserve">PLFA is a long-established method that provides information on microbial community structure (e.g. </w:t>
            </w:r>
            <w:proofErr w:type="spellStart"/>
            <w:proofErr w:type="gramStart"/>
            <w:r w:rsidRPr="002A1C7C">
              <w:rPr>
                <w:bCs/>
              </w:rPr>
              <w:t>fungi:bacteria</w:t>
            </w:r>
            <w:proofErr w:type="spellEnd"/>
            <w:r w:rsidRPr="002A1C7C">
              <w:rPr>
                <w:bCs/>
              </w:rPr>
              <w:t>), but</w:t>
            </w:r>
            <w:proofErr w:type="gramEnd"/>
            <w:r w:rsidRPr="002A1C7C">
              <w:rPr>
                <w:bCs/>
              </w:rPr>
              <w:t xml:space="preserve"> generates complex datasets that are difficult to interpret. While indicative “good” and “bad” ranges exist, there is limited understanding of how detailed outputs relate to soil function. The method is relatively expensive and lacks a strong interpretation framework, which limits its practical application despite its scientific value.</w:t>
            </w:r>
          </w:p>
        </w:tc>
      </w:tr>
      <w:tr w:rsidR="00355DB9" w:rsidRPr="00EB1D71" w14:paraId="53191ACE" w14:textId="77777777" w:rsidTr="00355DB9">
        <w:tc>
          <w:tcPr>
            <w:cnfStyle w:val="001000000000" w:firstRow="0" w:lastRow="0" w:firstColumn="1" w:lastColumn="0" w:oddVBand="0" w:evenVBand="0" w:oddHBand="0" w:evenHBand="0" w:firstRowFirstColumn="0" w:firstRowLastColumn="0" w:lastRowFirstColumn="0" w:lastRowLastColumn="0"/>
            <w:tcW w:w="758" w:type="pct"/>
          </w:tcPr>
          <w:p w14:paraId="5D779AC4" w14:textId="77777777" w:rsidR="00355DB9" w:rsidRPr="002A1C7C" w:rsidRDefault="00355DB9" w:rsidP="002A1C7C">
            <w:pPr>
              <w:pStyle w:val="Table-Body-leftaligned"/>
              <w:rPr>
                <w:b w:val="0"/>
                <w:bCs/>
              </w:rPr>
            </w:pPr>
            <w:r w:rsidRPr="00584811">
              <w:rPr>
                <w:bCs/>
              </w:rPr>
              <w:t xml:space="preserve">Functional gene analysis using qPCR </w:t>
            </w:r>
          </w:p>
        </w:tc>
        <w:tc>
          <w:tcPr>
            <w:tcW w:w="4242" w:type="pct"/>
          </w:tcPr>
          <w:p w14:paraId="507928A5" w14:textId="77777777" w:rsidR="00355DB9" w:rsidRPr="002A1C7C" w:rsidRDefault="00355DB9" w:rsidP="002A1C7C">
            <w:pPr>
              <w:pStyle w:val="Table-Body-leftaligned"/>
              <w:cnfStyle w:val="000000000000" w:firstRow="0" w:lastRow="0" w:firstColumn="0" w:lastColumn="0" w:oddVBand="0" w:evenVBand="0" w:oddHBand="0" w:evenHBand="0" w:firstRowFirstColumn="0" w:firstRowLastColumn="0" w:lastRowFirstColumn="0" w:lastRowLastColumn="0"/>
              <w:rPr>
                <w:bCs/>
              </w:rPr>
            </w:pPr>
            <w:r w:rsidRPr="002A1C7C">
              <w:rPr>
                <w:bCs/>
              </w:rPr>
              <w:t>DNA-based methods provide detailed information on microbial abundance and functional genes, but interpretation remains a major challenge. Results can be affected by soil chemistry and include DNA from non-living organisms, complicating interpretation. While promising, especially for nutrient cycling pathways, these approaches generate large datasets that currently lack clear links to soil function or actionable thresholds. Further research is needed to understand how microbial composition relates to soil health.</w:t>
            </w:r>
          </w:p>
        </w:tc>
      </w:tr>
    </w:tbl>
    <w:p w14:paraId="1B4713C7" w14:textId="77777777" w:rsidR="00355DB9" w:rsidRPr="00EB1D71" w:rsidRDefault="00355DB9">
      <w:pPr>
        <w:spacing w:line="278" w:lineRule="auto"/>
        <w:rPr>
          <w:rFonts w:asciiTheme="minorHAnsi" w:hAnsiTheme="minorHAnsi" w:cstheme="minorHAnsi"/>
        </w:rPr>
      </w:pPr>
    </w:p>
    <w:p w14:paraId="5A8B8F19" w14:textId="77777777" w:rsidR="00355DB9" w:rsidRPr="00EB1D71" w:rsidRDefault="00355DB9">
      <w:pPr>
        <w:spacing w:line="278" w:lineRule="auto"/>
        <w:rPr>
          <w:rFonts w:asciiTheme="minorHAnsi" w:hAnsiTheme="minorHAnsi" w:cstheme="minorHAnsi"/>
        </w:rPr>
      </w:pPr>
    </w:p>
    <w:p w14:paraId="6450F9E0" w14:textId="77777777" w:rsidR="00355DB9" w:rsidRPr="00EB1D71" w:rsidRDefault="00355DB9">
      <w:pPr>
        <w:spacing w:line="278" w:lineRule="auto"/>
        <w:rPr>
          <w:rFonts w:asciiTheme="minorHAnsi" w:hAnsiTheme="minorHAnsi" w:cstheme="minorHAnsi"/>
        </w:rPr>
        <w:sectPr w:rsidR="00355DB9" w:rsidRPr="00EB1D71" w:rsidSect="00355DB9">
          <w:pgSz w:w="16838" w:h="11906" w:orient="landscape"/>
          <w:pgMar w:top="1418" w:right="1418" w:bottom="1418" w:left="1418" w:header="709" w:footer="454" w:gutter="0"/>
          <w:cols w:space="708"/>
          <w:docGrid w:linePitch="360"/>
        </w:sectPr>
      </w:pPr>
    </w:p>
    <w:p w14:paraId="3B1849F0" w14:textId="6DA6433F" w:rsidR="00355DB9" w:rsidRPr="00EB1D71" w:rsidRDefault="00355DB9" w:rsidP="00B61993">
      <w:pPr>
        <w:rPr>
          <w:rFonts w:asciiTheme="minorHAnsi" w:hAnsiTheme="minorHAnsi" w:cstheme="minorHAnsi"/>
        </w:rPr>
      </w:pPr>
      <w:r w:rsidRPr="00EB1D71">
        <w:rPr>
          <w:rFonts w:asciiTheme="minorHAnsi" w:hAnsiTheme="minorHAnsi" w:cstheme="minorHAnsi"/>
        </w:rPr>
        <w:lastRenderedPageBreak/>
        <w:t xml:space="preserve">The outcomes of the final vote to include or exclude each indicator on the final shortlist are shown in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_Ref224304826 \h </w:instrText>
      </w:r>
      <w:r w:rsidR="00AB0486"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8</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xml:space="preserve">. PMN, crop rooting, aggregate stability and active carbon all had more than 70% approval for inclusion in the next phase of the evidence review. Soil </w:t>
      </w:r>
      <w:proofErr w:type="spellStart"/>
      <w:r w:rsidRPr="00EB1D71">
        <w:rPr>
          <w:rFonts w:asciiTheme="minorHAnsi" w:hAnsiTheme="minorHAnsi" w:cstheme="minorHAnsi"/>
        </w:rPr>
        <w:t>foodweb</w:t>
      </w:r>
      <w:proofErr w:type="spellEnd"/>
      <w:r w:rsidRPr="00EB1D71">
        <w:rPr>
          <w:rFonts w:asciiTheme="minorHAnsi" w:hAnsiTheme="minorHAnsi" w:cstheme="minorHAnsi"/>
        </w:rPr>
        <w:t xml:space="preserve"> analysis was clearly excluded from the next phase. No consensus was reached on PLFA and enzyme assays. It should also be noted that CO</w:t>
      </w:r>
      <w:r w:rsidRPr="00EB1D71">
        <w:rPr>
          <w:rFonts w:asciiTheme="minorHAnsi" w:hAnsiTheme="minorHAnsi" w:cstheme="minorHAnsi"/>
          <w:vertAlign w:val="subscript"/>
        </w:rPr>
        <w:t>2</w:t>
      </w:r>
      <w:r w:rsidRPr="00EB1D71">
        <w:rPr>
          <w:rFonts w:asciiTheme="minorHAnsi" w:hAnsiTheme="minorHAnsi" w:cstheme="minorHAnsi"/>
        </w:rPr>
        <w:t xml:space="preserve"> burst, qPCR and earthworms were not included in the final vote. While earthworms had scored highly in the first and second-round surveys, the AHDB preferred that resources were directed to less well-established existing indicators of soil health. There was also a recognition among the IRG that total earthworm counts are a crude measure of soil health; a more refined measure would require expertise in earthworm species identification, which is rare.</w:t>
      </w:r>
    </w:p>
    <w:p w14:paraId="3AD61B10" w14:textId="5ADE27EE" w:rsidR="00355DB9" w:rsidRPr="00EB1D71" w:rsidRDefault="00355DB9" w:rsidP="00355DB9">
      <w:pPr>
        <w:pStyle w:val="Caption"/>
        <w:rPr>
          <w:rFonts w:asciiTheme="minorHAnsi" w:hAnsiTheme="minorHAnsi" w:cstheme="minorHAnsi"/>
        </w:rPr>
      </w:pPr>
      <w:bookmarkStart w:id="51" w:name="_Ref224304826"/>
      <w:bookmarkStart w:id="52" w:name="_Toc228622114"/>
      <w:r w:rsidRPr="00EB1D71">
        <w:rPr>
          <w:rFonts w:asciiTheme="minorHAnsi" w:hAnsiTheme="minorHAnsi" w:cstheme="minorHAnsi"/>
        </w:rPr>
        <w:t xml:space="preserve">Table </w:t>
      </w:r>
      <w:r w:rsidR="009A568B" w:rsidRPr="00EB1D71">
        <w:rPr>
          <w:rFonts w:asciiTheme="minorHAnsi" w:hAnsiTheme="minorHAnsi" w:cstheme="minorHAnsi"/>
        </w:rPr>
        <w:fldChar w:fldCharType="begin"/>
      </w:r>
      <w:r w:rsidR="009A568B" w:rsidRPr="00EB1D71">
        <w:rPr>
          <w:rFonts w:asciiTheme="minorHAnsi" w:hAnsiTheme="minorHAnsi" w:cstheme="minorHAnsi"/>
        </w:rPr>
        <w:instrText xml:space="preserve"> SEQ Table \* ARABIC </w:instrText>
      </w:r>
      <w:r w:rsidR="009A568B" w:rsidRPr="00EB1D71">
        <w:rPr>
          <w:rFonts w:asciiTheme="minorHAnsi" w:hAnsiTheme="minorHAnsi" w:cstheme="minorHAnsi"/>
        </w:rPr>
        <w:fldChar w:fldCharType="separate"/>
      </w:r>
      <w:r w:rsidR="00C400DA">
        <w:rPr>
          <w:rFonts w:asciiTheme="minorHAnsi" w:hAnsiTheme="minorHAnsi" w:cstheme="minorHAnsi"/>
          <w:noProof/>
        </w:rPr>
        <w:t>8</w:t>
      </w:r>
      <w:r w:rsidR="009A568B" w:rsidRPr="00EB1D71">
        <w:rPr>
          <w:rFonts w:asciiTheme="minorHAnsi" w:hAnsiTheme="minorHAnsi" w:cstheme="minorHAnsi"/>
          <w:noProof/>
        </w:rPr>
        <w:fldChar w:fldCharType="end"/>
      </w:r>
      <w:bookmarkEnd w:id="51"/>
      <w:r w:rsidRPr="00EB1D71">
        <w:rPr>
          <w:rFonts w:asciiTheme="minorHAnsi" w:hAnsiTheme="minorHAnsi" w:cstheme="minorHAnsi"/>
        </w:rPr>
        <w:t>. Summary of the outcomes of the Delphi process for shortlisting of indicators by the Industry Reference Group</w:t>
      </w:r>
      <w:bookmarkEnd w:id="52"/>
    </w:p>
    <w:tbl>
      <w:tblPr>
        <w:tblStyle w:val="TableGrid"/>
        <w:tblW w:w="0" w:type="auto"/>
        <w:tblLook w:val="04A0" w:firstRow="1" w:lastRow="0" w:firstColumn="1" w:lastColumn="0" w:noHBand="0" w:noVBand="1"/>
      </w:tblPr>
      <w:tblGrid>
        <w:gridCol w:w="1725"/>
        <w:gridCol w:w="2806"/>
        <w:gridCol w:w="4529"/>
      </w:tblGrid>
      <w:tr w:rsidR="009234EB" w:rsidRPr="00EB1D71" w14:paraId="5FC12F2C" w14:textId="77777777" w:rsidTr="00923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5" w:type="dxa"/>
          </w:tcPr>
          <w:p w14:paraId="42D8F9F9" w14:textId="77777777" w:rsidR="009234EB" w:rsidRPr="00B22117" w:rsidRDefault="009234EB" w:rsidP="002A1C7C">
            <w:pPr>
              <w:pStyle w:val="TableHeading-centred-bold"/>
            </w:pPr>
            <w:r w:rsidRPr="002A1C7C">
              <w:rPr>
                <w:b/>
              </w:rPr>
              <w:t>Indicator</w:t>
            </w:r>
          </w:p>
        </w:tc>
        <w:tc>
          <w:tcPr>
            <w:tcW w:w="2806" w:type="dxa"/>
          </w:tcPr>
          <w:p w14:paraId="58284422" w14:textId="39216F49" w:rsidR="009234EB" w:rsidRPr="00B22117"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Consensus decision</w:t>
            </w:r>
          </w:p>
        </w:tc>
        <w:tc>
          <w:tcPr>
            <w:tcW w:w="4529" w:type="dxa"/>
          </w:tcPr>
          <w:p w14:paraId="18FA9209" w14:textId="0DDEB204" w:rsidR="009234EB" w:rsidRPr="00B22117"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Consensus proportion (%)</w:t>
            </w:r>
          </w:p>
        </w:tc>
      </w:tr>
      <w:tr w:rsidR="009234EB" w:rsidRPr="00EB1D71" w14:paraId="7553076E" w14:textId="77777777" w:rsidTr="009234EB">
        <w:tc>
          <w:tcPr>
            <w:cnfStyle w:val="001000000000" w:firstRow="0" w:lastRow="0" w:firstColumn="1" w:lastColumn="0" w:oddVBand="0" w:evenVBand="0" w:oddHBand="0" w:evenHBand="0" w:firstRowFirstColumn="0" w:firstRowLastColumn="0" w:lastRowFirstColumn="0" w:lastRowLastColumn="0"/>
            <w:tcW w:w="1725" w:type="dxa"/>
          </w:tcPr>
          <w:p w14:paraId="113B84E7" w14:textId="77777777" w:rsidR="009234EB" w:rsidRPr="002A1C7C" w:rsidRDefault="009234EB" w:rsidP="002A1C7C">
            <w:pPr>
              <w:pStyle w:val="Table-Body-leftaligned"/>
              <w:rPr>
                <w:b w:val="0"/>
              </w:rPr>
            </w:pPr>
            <w:r w:rsidRPr="00584811">
              <w:t>PMN</w:t>
            </w:r>
          </w:p>
        </w:tc>
        <w:tc>
          <w:tcPr>
            <w:tcW w:w="2806" w:type="dxa"/>
          </w:tcPr>
          <w:p w14:paraId="519CC776" w14:textId="4A28CA35"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Include</w:t>
            </w:r>
          </w:p>
        </w:tc>
        <w:tc>
          <w:tcPr>
            <w:tcW w:w="4529" w:type="dxa"/>
          </w:tcPr>
          <w:p w14:paraId="33664432" w14:textId="1E417E73"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100</w:t>
            </w:r>
          </w:p>
        </w:tc>
      </w:tr>
      <w:tr w:rsidR="009234EB" w:rsidRPr="00EB1D71" w14:paraId="29D40320" w14:textId="77777777" w:rsidTr="009234EB">
        <w:tc>
          <w:tcPr>
            <w:cnfStyle w:val="001000000000" w:firstRow="0" w:lastRow="0" w:firstColumn="1" w:lastColumn="0" w:oddVBand="0" w:evenVBand="0" w:oddHBand="0" w:evenHBand="0" w:firstRowFirstColumn="0" w:firstRowLastColumn="0" w:lastRowFirstColumn="0" w:lastRowLastColumn="0"/>
            <w:tcW w:w="1725" w:type="dxa"/>
          </w:tcPr>
          <w:p w14:paraId="0D50FBED" w14:textId="77777777" w:rsidR="009234EB" w:rsidRPr="002A1C7C" w:rsidRDefault="009234EB" w:rsidP="002A1C7C">
            <w:pPr>
              <w:pStyle w:val="Table-Body-leftaligned"/>
              <w:rPr>
                <w:b w:val="0"/>
              </w:rPr>
            </w:pPr>
            <w:r w:rsidRPr="00584811">
              <w:t>Crop Rooting</w:t>
            </w:r>
          </w:p>
        </w:tc>
        <w:tc>
          <w:tcPr>
            <w:tcW w:w="2806" w:type="dxa"/>
          </w:tcPr>
          <w:p w14:paraId="797DDE6D" w14:textId="20EC7DC3"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Include</w:t>
            </w:r>
          </w:p>
        </w:tc>
        <w:tc>
          <w:tcPr>
            <w:tcW w:w="4529" w:type="dxa"/>
          </w:tcPr>
          <w:p w14:paraId="76DD7B67" w14:textId="6DDAAF24"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87.5</w:t>
            </w:r>
          </w:p>
        </w:tc>
      </w:tr>
      <w:tr w:rsidR="009234EB" w:rsidRPr="00EB1D71" w14:paraId="55E4124A" w14:textId="77777777" w:rsidTr="009234EB">
        <w:tc>
          <w:tcPr>
            <w:cnfStyle w:val="001000000000" w:firstRow="0" w:lastRow="0" w:firstColumn="1" w:lastColumn="0" w:oddVBand="0" w:evenVBand="0" w:oddHBand="0" w:evenHBand="0" w:firstRowFirstColumn="0" w:firstRowLastColumn="0" w:lastRowFirstColumn="0" w:lastRowLastColumn="0"/>
            <w:tcW w:w="1725" w:type="dxa"/>
          </w:tcPr>
          <w:p w14:paraId="45889AE5" w14:textId="77777777" w:rsidR="009234EB" w:rsidRPr="002A1C7C" w:rsidRDefault="009234EB" w:rsidP="002A1C7C">
            <w:pPr>
              <w:pStyle w:val="Table-Body-leftaligned"/>
              <w:rPr>
                <w:b w:val="0"/>
              </w:rPr>
            </w:pPr>
            <w:r w:rsidRPr="00584811">
              <w:t>Active C</w:t>
            </w:r>
          </w:p>
        </w:tc>
        <w:tc>
          <w:tcPr>
            <w:tcW w:w="2806" w:type="dxa"/>
          </w:tcPr>
          <w:p w14:paraId="7230A557" w14:textId="6BFEA04C"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Include</w:t>
            </w:r>
          </w:p>
        </w:tc>
        <w:tc>
          <w:tcPr>
            <w:tcW w:w="4529" w:type="dxa"/>
          </w:tcPr>
          <w:p w14:paraId="24AB2CD8" w14:textId="0DAAF2C8"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75</w:t>
            </w:r>
          </w:p>
        </w:tc>
      </w:tr>
      <w:tr w:rsidR="009234EB" w:rsidRPr="00EB1D71" w14:paraId="4446BD16" w14:textId="77777777" w:rsidTr="009234EB">
        <w:tc>
          <w:tcPr>
            <w:cnfStyle w:val="001000000000" w:firstRow="0" w:lastRow="0" w:firstColumn="1" w:lastColumn="0" w:oddVBand="0" w:evenVBand="0" w:oddHBand="0" w:evenHBand="0" w:firstRowFirstColumn="0" w:firstRowLastColumn="0" w:lastRowFirstColumn="0" w:lastRowLastColumn="0"/>
            <w:tcW w:w="1725" w:type="dxa"/>
          </w:tcPr>
          <w:p w14:paraId="299E8716" w14:textId="77777777" w:rsidR="009234EB" w:rsidRPr="002A1C7C" w:rsidRDefault="009234EB" w:rsidP="002A1C7C">
            <w:pPr>
              <w:pStyle w:val="Table-Body-leftaligned"/>
              <w:rPr>
                <w:b w:val="0"/>
              </w:rPr>
            </w:pPr>
            <w:r w:rsidRPr="00584811">
              <w:t>Aggregate Stability</w:t>
            </w:r>
          </w:p>
        </w:tc>
        <w:tc>
          <w:tcPr>
            <w:tcW w:w="2806" w:type="dxa"/>
          </w:tcPr>
          <w:p w14:paraId="1B77C041" w14:textId="34C0829C"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Include</w:t>
            </w:r>
          </w:p>
        </w:tc>
        <w:tc>
          <w:tcPr>
            <w:tcW w:w="4529" w:type="dxa"/>
          </w:tcPr>
          <w:p w14:paraId="41B1278A" w14:textId="79F7334B"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75</w:t>
            </w:r>
          </w:p>
        </w:tc>
      </w:tr>
      <w:tr w:rsidR="009234EB" w:rsidRPr="00EB1D71" w14:paraId="1773276B" w14:textId="77777777" w:rsidTr="009234EB">
        <w:tc>
          <w:tcPr>
            <w:cnfStyle w:val="001000000000" w:firstRow="0" w:lastRow="0" w:firstColumn="1" w:lastColumn="0" w:oddVBand="0" w:evenVBand="0" w:oddHBand="0" w:evenHBand="0" w:firstRowFirstColumn="0" w:firstRowLastColumn="0" w:lastRowFirstColumn="0" w:lastRowLastColumn="0"/>
            <w:tcW w:w="1725" w:type="dxa"/>
          </w:tcPr>
          <w:p w14:paraId="02802DCD" w14:textId="77777777" w:rsidR="009234EB" w:rsidRPr="002A1C7C" w:rsidRDefault="009234EB" w:rsidP="002A1C7C">
            <w:pPr>
              <w:pStyle w:val="Table-Body-leftaligned"/>
              <w:rPr>
                <w:b w:val="0"/>
              </w:rPr>
            </w:pPr>
            <w:r w:rsidRPr="00584811">
              <w:t xml:space="preserve">Soil </w:t>
            </w:r>
            <w:proofErr w:type="spellStart"/>
            <w:r w:rsidRPr="00584811">
              <w:t>Foodweb</w:t>
            </w:r>
            <w:proofErr w:type="spellEnd"/>
          </w:p>
        </w:tc>
        <w:tc>
          <w:tcPr>
            <w:tcW w:w="2806" w:type="dxa"/>
          </w:tcPr>
          <w:p w14:paraId="71D6C0FE" w14:textId="5EE08FF6"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Exclude</w:t>
            </w:r>
          </w:p>
        </w:tc>
        <w:tc>
          <w:tcPr>
            <w:tcW w:w="4529" w:type="dxa"/>
          </w:tcPr>
          <w:p w14:paraId="0A69C9E6" w14:textId="4489B44D"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75</w:t>
            </w:r>
          </w:p>
        </w:tc>
      </w:tr>
      <w:tr w:rsidR="009234EB" w:rsidRPr="00EB1D71" w14:paraId="5FB52DDE" w14:textId="77777777" w:rsidTr="009234EB">
        <w:tc>
          <w:tcPr>
            <w:cnfStyle w:val="001000000000" w:firstRow="0" w:lastRow="0" w:firstColumn="1" w:lastColumn="0" w:oddVBand="0" w:evenVBand="0" w:oddHBand="0" w:evenHBand="0" w:firstRowFirstColumn="0" w:firstRowLastColumn="0" w:lastRowFirstColumn="0" w:lastRowLastColumn="0"/>
            <w:tcW w:w="1725" w:type="dxa"/>
          </w:tcPr>
          <w:p w14:paraId="1A52FF52" w14:textId="77777777" w:rsidR="009234EB" w:rsidRPr="002A1C7C" w:rsidRDefault="009234EB" w:rsidP="002A1C7C">
            <w:pPr>
              <w:pStyle w:val="Table-Body-leftaligned"/>
              <w:rPr>
                <w:b w:val="0"/>
              </w:rPr>
            </w:pPr>
            <w:r w:rsidRPr="00584811">
              <w:t>PLFA</w:t>
            </w:r>
          </w:p>
        </w:tc>
        <w:tc>
          <w:tcPr>
            <w:tcW w:w="2806" w:type="dxa"/>
          </w:tcPr>
          <w:p w14:paraId="3814FECA" w14:textId="03815A49"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No consensus reached (exclude/unsure)</w:t>
            </w:r>
          </w:p>
        </w:tc>
        <w:tc>
          <w:tcPr>
            <w:tcW w:w="4529" w:type="dxa"/>
          </w:tcPr>
          <w:p w14:paraId="7D19BEAF" w14:textId="5793227F"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12.5/50</w:t>
            </w:r>
          </w:p>
        </w:tc>
      </w:tr>
      <w:tr w:rsidR="009234EB" w:rsidRPr="00EB1D71" w14:paraId="1F511207" w14:textId="77777777" w:rsidTr="009234EB">
        <w:tc>
          <w:tcPr>
            <w:cnfStyle w:val="001000000000" w:firstRow="0" w:lastRow="0" w:firstColumn="1" w:lastColumn="0" w:oddVBand="0" w:evenVBand="0" w:oddHBand="0" w:evenHBand="0" w:firstRowFirstColumn="0" w:firstRowLastColumn="0" w:lastRowFirstColumn="0" w:lastRowLastColumn="0"/>
            <w:tcW w:w="1725" w:type="dxa"/>
          </w:tcPr>
          <w:p w14:paraId="44AD85E0" w14:textId="77777777" w:rsidR="009234EB" w:rsidRPr="002A1C7C" w:rsidRDefault="009234EB" w:rsidP="002A1C7C">
            <w:pPr>
              <w:pStyle w:val="Table-Body-leftaligned"/>
              <w:rPr>
                <w:b w:val="0"/>
              </w:rPr>
            </w:pPr>
            <w:r w:rsidRPr="00584811">
              <w:t>Enzyme Assays</w:t>
            </w:r>
          </w:p>
        </w:tc>
        <w:tc>
          <w:tcPr>
            <w:tcW w:w="2806" w:type="dxa"/>
          </w:tcPr>
          <w:p w14:paraId="0B7C076E" w14:textId="6B72A733"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No consensus reached (exclude/unsure)</w:t>
            </w:r>
          </w:p>
        </w:tc>
        <w:tc>
          <w:tcPr>
            <w:tcW w:w="4529" w:type="dxa"/>
          </w:tcPr>
          <w:p w14:paraId="4FF5AF40" w14:textId="711D5F61"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50/12.5</w:t>
            </w:r>
          </w:p>
        </w:tc>
      </w:tr>
    </w:tbl>
    <w:p w14:paraId="69AC48FA" w14:textId="77777777" w:rsidR="00355DB9" w:rsidRPr="00EB1D71" w:rsidRDefault="00355DB9">
      <w:pPr>
        <w:spacing w:line="278" w:lineRule="auto"/>
        <w:rPr>
          <w:rFonts w:asciiTheme="minorHAnsi" w:hAnsiTheme="minorHAnsi" w:cstheme="minorHAnsi"/>
        </w:rPr>
      </w:pPr>
    </w:p>
    <w:p w14:paraId="669D0AEB" w14:textId="77777777" w:rsidR="009234EB" w:rsidRPr="002A1C7C" w:rsidRDefault="009234EB" w:rsidP="009234EB">
      <w:pPr>
        <w:pStyle w:val="Heading3"/>
        <w:rPr>
          <w:rFonts w:asciiTheme="minorHAnsi" w:hAnsiTheme="minorHAnsi" w:cstheme="minorHAnsi"/>
          <w:color w:val="006197" w:themeColor="text1" w:themeShade="BF"/>
        </w:rPr>
      </w:pPr>
      <w:bookmarkStart w:id="53" w:name="_Toc228622085"/>
      <w:bookmarkStart w:id="54" w:name="_Toc234580969"/>
      <w:r w:rsidRPr="002A1C7C">
        <w:rPr>
          <w:rFonts w:asciiTheme="minorHAnsi" w:hAnsiTheme="minorHAnsi" w:cstheme="minorHAnsi"/>
          <w:color w:val="006197" w:themeColor="text1" w:themeShade="BF"/>
        </w:rPr>
        <w:t>Task 2.2 Critical evaluation of evidence</w:t>
      </w:r>
      <w:bookmarkEnd w:id="53"/>
      <w:bookmarkEnd w:id="54"/>
    </w:p>
    <w:p w14:paraId="31B8C2B9" w14:textId="77777777" w:rsidR="009234EB" w:rsidRPr="002A1C7C" w:rsidRDefault="009234EB" w:rsidP="009234EB">
      <w:pPr>
        <w:pStyle w:val="Heading4"/>
        <w:rPr>
          <w:rFonts w:asciiTheme="minorHAnsi" w:hAnsiTheme="minorHAnsi" w:cstheme="minorHAnsi"/>
          <w:color w:val="006197" w:themeColor="text1" w:themeShade="BF"/>
        </w:rPr>
      </w:pPr>
      <w:bookmarkStart w:id="55" w:name="_Toc228622086"/>
      <w:r w:rsidRPr="002A1C7C">
        <w:rPr>
          <w:rFonts w:asciiTheme="minorHAnsi" w:hAnsiTheme="minorHAnsi" w:cstheme="minorHAnsi"/>
          <w:color w:val="006197" w:themeColor="text1" w:themeShade="BF"/>
        </w:rPr>
        <w:t>Sensitivity to management change</w:t>
      </w:r>
      <w:bookmarkEnd w:id="55"/>
      <w:r w:rsidRPr="002A1C7C">
        <w:rPr>
          <w:rFonts w:asciiTheme="minorHAnsi" w:hAnsiTheme="minorHAnsi" w:cstheme="minorHAnsi"/>
          <w:color w:val="006197" w:themeColor="text1" w:themeShade="BF"/>
        </w:rPr>
        <w:tab/>
      </w:r>
    </w:p>
    <w:p w14:paraId="1812F585" w14:textId="6675A00F" w:rsidR="009234EB" w:rsidRPr="00EB1D71" w:rsidRDefault="009234EB" w:rsidP="00B61993">
      <w:pPr>
        <w:rPr>
          <w:rFonts w:asciiTheme="minorHAnsi" w:hAnsiTheme="minorHAnsi" w:cstheme="minorHAnsi"/>
        </w:rPr>
      </w:pPr>
      <w:r w:rsidRPr="00EB1D71">
        <w:rPr>
          <w:rFonts w:asciiTheme="minorHAnsi" w:hAnsiTheme="minorHAnsi" w:cstheme="minorHAnsi"/>
        </w:rPr>
        <w:t>From the sources reviewed, an average score for indicator sensitivity to management change was calculated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_Ref224294282 \h </w:instrText>
      </w:r>
      <w:r w:rsidR="00E522A8"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9</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xml:space="preserve">). It was not possible to differentiate between the two methods for the analysis of Active C, based on the details provided in the reviewed sources, thus both were given the same score for this category. The indicator which scored the highest for sensitivity to management change was crop rooting, as determined through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(average score of 2.0). This was followed by aggregate stability through assessment of water stable aggregates (average score of 1.5). Slake testing had the lowest score, which was largely due to papers in which it was included having low confidence in its sensitivity due to a lack of available data on this indicator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_Ref224294282 \h </w:instrText>
      </w:r>
      <w:r w:rsidR="00AB0486"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9</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w:t>
      </w:r>
    </w:p>
    <w:p w14:paraId="2A61BFA4" w14:textId="77777777" w:rsidR="009234EB" w:rsidRPr="00EB1D71" w:rsidRDefault="009234EB" w:rsidP="009234EB">
      <w:pPr>
        <w:spacing w:after="200" w:line="276" w:lineRule="auto"/>
        <w:rPr>
          <w:rFonts w:asciiTheme="minorHAnsi" w:hAnsiTheme="minorHAnsi" w:cstheme="minorHAnsi"/>
        </w:rPr>
      </w:pPr>
      <w:r w:rsidRPr="00EB1D71">
        <w:rPr>
          <w:rFonts w:asciiTheme="minorHAnsi" w:hAnsiTheme="minorHAnsi" w:cstheme="minorHAnsi"/>
        </w:rPr>
        <w:br w:type="page"/>
      </w:r>
    </w:p>
    <w:p w14:paraId="0301C5A2" w14:textId="289C94F4" w:rsidR="009234EB" w:rsidRPr="00EB1D71" w:rsidRDefault="009234EB" w:rsidP="009234EB">
      <w:pPr>
        <w:pStyle w:val="Caption"/>
        <w:spacing w:after="0"/>
        <w:rPr>
          <w:rFonts w:asciiTheme="minorHAnsi" w:hAnsiTheme="minorHAnsi" w:cstheme="minorHAnsi"/>
        </w:rPr>
      </w:pPr>
      <w:bookmarkStart w:id="56" w:name="_Ref224294282"/>
      <w:bookmarkStart w:id="57" w:name="_Ref225928596"/>
      <w:bookmarkStart w:id="58" w:name="_Toc228622115"/>
      <w:r w:rsidRPr="00EB1D71">
        <w:rPr>
          <w:rFonts w:asciiTheme="minorHAnsi" w:hAnsiTheme="minorHAnsi" w:cstheme="minorHAnsi"/>
        </w:rPr>
        <w:lastRenderedPageBreak/>
        <w:t xml:space="preserve">Table </w:t>
      </w:r>
      <w:r w:rsidR="009A568B" w:rsidRPr="00EB1D71">
        <w:rPr>
          <w:rFonts w:asciiTheme="minorHAnsi" w:hAnsiTheme="minorHAnsi" w:cstheme="minorHAnsi"/>
        </w:rPr>
        <w:fldChar w:fldCharType="begin"/>
      </w:r>
      <w:r w:rsidR="009A568B" w:rsidRPr="00EB1D71">
        <w:rPr>
          <w:rFonts w:asciiTheme="minorHAnsi" w:hAnsiTheme="minorHAnsi" w:cstheme="minorHAnsi"/>
        </w:rPr>
        <w:instrText xml:space="preserve"> SEQ Table \* ARABIC </w:instrText>
      </w:r>
      <w:r w:rsidR="009A568B" w:rsidRPr="00EB1D71">
        <w:rPr>
          <w:rFonts w:asciiTheme="minorHAnsi" w:hAnsiTheme="minorHAnsi" w:cstheme="minorHAnsi"/>
        </w:rPr>
        <w:fldChar w:fldCharType="separate"/>
      </w:r>
      <w:r w:rsidR="00C400DA">
        <w:rPr>
          <w:rFonts w:asciiTheme="minorHAnsi" w:hAnsiTheme="minorHAnsi" w:cstheme="minorHAnsi"/>
          <w:noProof/>
        </w:rPr>
        <w:t>9</w:t>
      </w:r>
      <w:r w:rsidR="009A568B" w:rsidRPr="00EB1D71">
        <w:rPr>
          <w:rFonts w:asciiTheme="minorHAnsi" w:hAnsiTheme="minorHAnsi" w:cstheme="minorHAnsi"/>
          <w:noProof/>
        </w:rPr>
        <w:fldChar w:fldCharType="end"/>
      </w:r>
      <w:bookmarkEnd w:id="56"/>
      <w:r w:rsidRPr="00EB1D71">
        <w:rPr>
          <w:rFonts w:asciiTheme="minorHAnsi" w:hAnsiTheme="minorHAnsi" w:cstheme="minorHAnsi"/>
        </w:rPr>
        <w:t>. Average scores for each indicator for the "sensitivity to management" criteri</w:t>
      </w:r>
      <w:bookmarkEnd w:id="57"/>
      <w:r w:rsidRPr="00EB1D71">
        <w:rPr>
          <w:rFonts w:asciiTheme="minorHAnsi" w:hAnsiTheme="minorHAnsi" w:cstheme="minorHAnsi"/>
        </w:rPr>
        <w:t>on</w:t>
      </w:r>
      <w:bookmarkEnd w:id="58"/>
    </w:p>
    <w:tbl>
      <w:tblPr>
        <w:tblStyle w:val="TableGrid"/>
        <w:tblW w:w="0" w:type="auto"/>
        <w:tblLook w:val="04A0" w:firstRow="1" w:lastRow="0" w:firstColumn="1" w:lastColumn="0" w:noHBand="0" w:noVBand="1"/>
      </w:tblPr>
      <w:tblGrid>
        <w:gridCol w:w="2440"/>
        <w:gridCol w:w="3420"/>
        <w:gridCol w:w="3200"/>
      </w:tblGrid>
      <w:tr w:rsidR="009234EB" w:rsidRPr="00EB1D71" w14:paraId="6383D637" w14:textId="77777777" w:rsidTr="009234EB">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440" w:type="dxa"/>
            <w:noWrap/>
            <w:hideMark/>
          </w:tcPr>
          <w:p w14:paraId="76077D2A" w14:textId="77777777" w:rsidR="009234EB" w:rsidRPr="00B22117" w:rsidRDefault="009234EB" w:rsidP="002A1C7C">
            <w:pPr>
              <w:pStyle w:val="TableHeading-centred-bold"/>
            </w:pPr>
            <w:r w:rsidRPr="002A1C7C">
              <w:rPr>
                <w:b/>
              </w:rPr>
              <w:t>Indicator</w:t>
            </w:r>
          </w:p>
        </w:tc>
        <w:tc>
          <w:tcPr>
            <w:tcW w:w="3420" w:type="dxa"/>
            <w:noWrap/>
            <w:hideMark/>
          </w:tcPr>
          <w:p w14:paraId="18599FA3" w14:textId="77777777" w:rsidR="009234EB" w:rsidRPr="00B22117"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Method</w:t>
            </w:r>
          </w:p>
        </w:tc>
        <w:tc>
          <w:tcPr>
            <w:tcW w:w="3420" w:type="dxa"/>
          </w:tcPr>
          <w:p w14:paraId="414DDF7F" w14:textId="77777777" w:rsidR="009234EB" w:rsidRPr="00B22117"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Overall score</w:t>
            </w:r>
          </w:p>
        </w:tc>
      </w:tr>
      <w:tr w:rsidR="009234EB" w:rsidRPr="00EB1D71" w14:paraId="629D191B" w14:textId="77777777" w:rsidTr="009234EB">
        <w:trPr>
          <w:trHeight w:val="290"/>
        </w:trPr>
        <w:tc>
          <w:tcPr>
            <w:cnfStyle w:val="001000000000" w:firstRow="0" w:lastRow="0" w:firstColumn="1" w:lastColumn="0" w:oddVBand="0" w:evenVBand="0" w:oddHBand="0" w:evenHBand="0" w:firstRowFirstColumn="0" w:firstRowLastColumn="0" w:lastRowFirstColumn="0" w:lastRowLastColumn="0"/>
            <w:tcW w:w="2440" w:type="dxa"/>
            <w:noWrap/>
            <w:hideMark/>
          </w:tcPr>
          <w:p w14:paraId="53BDD5F8" w14:textId="77777777" w:rsidR="009234EB" w:rsidRPr="002A1C7C" w:rsidRDefault="009234EB" w:rsidP="002A1C7C">
            <w:pPr>
              <w:pStyle w:val="Table-Body-leftaligned"/>
              <w:rPr>
                <w:b w:val="0"/>
              </w:rPr>
            </w:pPr>
            <w:r w:rsidRPr="00584811">
              <w:t>PMN</w:t>
            </w:r>
          </w:p>
        </w:tc>
        <w:tc>
          <w:tcPr>
            <w:tcW w:w="3420" w:type="dxa"/>
            <w:noWrap/>
            <w:hideMark/>
          </w:tcPr>
          <w:p w14:paraId="34C66AB4" w14:textId="4513179F"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7-day anaerobic incubation</w:t>
            </w:r>
          </w:p>
        </w:tc>
        <w:tc>
          <w:tcPr>
            <w:tcW w:w="3420" w:type="dxa"/>
          </w:tcPr>
          <w:p w14:paraId="3AF84C8A"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1.20</w:t>
            </w:r>
          </w:p>
        </w:tc>
      </w:tr>
      <w:tr w:rsidR="009234EB" w:rsidRPr="00EB1D71" w14:paraId="6E9DDF7A" w14:textId="77777777" w:rsidTr="009234EB">
        <w:trPr>
          <w:trHeight w:val="290"/>
        </w:trPr>
        <w:tc>
          <w:tcPr>
            <w:cnfStyle w:val="001000000000" w:firstRow="0" w:lastRow="0" w:firstColumn="1" w:lastColumn="0" w:oddVBand="0" w:evenVBand="0" w:oddHBand="0" w:evenHBand="0" w:firstRowFirstColumn="0" w:firstRowLastColumn="0" w:lastRowFirstColumn="0" w:lastRowLastColumn="0"/>
            <w:tcW w:w="2440" w:type="dxa"/>
            <w:noWrap/>
            <w:hideMark/>
          </w:tcPr>
          <w:p w14:paraId="3FD90BE2" w14:textId="77777777" w:rsidR="009234EB" w:rsidRPr="002A1C7C" w:rsidRDefault="009234EB" w:rsidP="002A1C7C">
            <w:pPr>
              <w:pStyle w:val="Table-Body-leftaligned"/>
              <w:rPr>
                <w:b w:val="0"/>
              </w:rPr>
            </w:pPr>
            <w:r w:rsidRPr="00584811">
              <w:t xml:space="preserve">Active C </w:t>
            </w:r>
          </w:p>
        </w:tc>
        <w:tc>
          <w:tcPr>
            <w:tcW w:w="3420" w:type="dxa"/>
            <w:noWrap/>
            <w:hideMark/>
          </w:tcPr>
          <w:p w14:paraId="04A9A63C"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Potassium permanganate extraction</w:t>
            </w:r>
          </w:p>
        </w:tc>
        <w:tc>
          <w:tcPr>
            <w:tcW w:w="3420" w:type="dxa"/>
          </w:tcPr>
          <w:p w14:paraId="7B5B0A0F"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1.33</w:t>
            </w:r>
          </w:p>
        </w:tc>
      </w:tr>
      <w:tr w:rsidR="009234EB" w:rsidRPr="00EB1D71" w14:paraId="5A0A5DA2" w14:textId="77777777" w:rsidTr="009234EB">
        <w:trPr>
          <w:trHeight w:val="290"/>
        </w:trPr>
        <w:tc>
          <w:tcPr>
            <w:cnfStyle w:val="001000000000" w:firstRow="0" w:lastRow="0" w:firstColumn="1" w:lastColumn="0" w:oddVBand="0" w:evenVBand="0" w:oddHBand="0" w:evenHBand="0" w:firstRowFirstColumn="0" w:firstRowLastColumn="0" w:lastRowFirstColumn="0" w:lastRowLastColumn="0"/>
            <w:tcW w:w="2440" w:type="dxa"/>
            <w:hideMark/>
          </w:tcPr>
          <w:p w14:paraId="3993393E" w14:textId="53AF5447" w:rsidR="009234EB" w:rsidRPr="002A1C7C" w:rsidRDefault="00E619B1" w:rsidP="002A1C7C">
            <w:pPr>
              <w:pStyle w:val="Table-Body-leftaligned"/>
              <w:rPr>
                <w:b w:val="0"/>
              </w:rPr>
            </w:pPr>
            <w:r w:rsidRPr="00584811">
              <w:t>Active C</w:t>
            </w:r>
          </w:p>
        </w:tc>
        <w:tc>
          <w:tcPr>
            <w:tcW w:w="3420" w:type="dxa"/>
            <w:noWrap/>
            <w:hideMark/>
          </w:tcPr>
          <w:p w14:paraId="6007C4FB"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Hot water extraction</w:t>
            </w:r>
          </w:p>
        </w:tc>
        <w:tc>
          <w:tcPr>
            <w:tcW w:w="3420" w:type="dxa"/>
          </w:tcPr>
          <w:p w14:paraId="251CB9A3"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1.33</w:t>
            </w:r>
          </w:p>
        </w:tc>
      </w:tr>
      <w:tr w:rsidR="009234EB" w:rsidRPr="00EB1D71" w14:paraId="3077A851" w14:textId="77777777" w:rsidTr="009234EB">
        <w:trPr>
          <w:trHeight w:val="290"/>
        </w:trPr>
        <w:tc>
          <w:tcPr>
            <w:cnfStyle w:val="001000000000" w:firstRow="0" w:lastRow="0" w:firstColumn="1" w:lastColumn="0" w:oddVBand="0" w:evenVBand="0" w:oddHBand="0" w:evenHBand="0" w:firstRowFirstColumn="0" w:firstRowLastColumn="0" w:lastRowFirstColumn="0" w:lastRowLastColumn="0"/>
            <w:tcW w:w="2440" w:type="dxa"/>
            <w:noWrap/>
            <w:hideMark/>
          </w:tcPr>
          <w:p w14:paraId="5AB6EB43" w14:textId="77777777" w:rsidR="009234EB" w:rsidRPr="002A1C7C" w:rsidRDefault="009234EB" w:rsidP="002A1C7C">
            <w:pPr>
              <w:pStyle w:val="Table-Body-leftaligned"/>
              <w:rPr>
                <w:b w:val="0"/>
              </w:rPr>
            </w:pPr>
            <w:r w:rsidRPr="00584811">
              <w:t>Crop Root Architecture</w:t>
            </w:r>
          </w:p>
        </w:tc>
        <w:tc>
          <w:tcPr>
            <w:tcW w:w="3420" w:type="dxa"/>
            <w:noWrap/>
            <w:hideMark/>
          </w:tcPr>
          <w:p w14:paraId="366C5A42"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proofErr w:type="spellStart"/>
            <w:r w:rsidRPr="003B3662">
              <w:rPr>
                <w:bCs/>
              </w:rPr>
              <w:t>Shovelomics</w:t>
            </w:r>
            <w:proofErr w:type="spellEnd"/>
          </w:p>
        </w:tc>
        <w:tc>
          <w:tcPr>
            <w:tcW w:w="3420" w:type="dxa"/>
          </w:tcPr>
          <w:p w14:paraId="75CF658C"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2.00</w:t>
            </w:r>
          </w:p>
        </w:tc>
      </w:tr>
      <w:tr w:rsidR="009234EB" w:rsidRPr="00EB1D71" w14:paraId="1A247784" w14:textId="77777777" w:rsidTr="009234EB">
        <w:trPr>
          <w:trHeight w:val="290"/>
        </w:trPr>
        <w:tc>
          <w:tcPr>
            <w:cnfStyle w:val="001000000000" w:firstRow="0" w:lastRow="0" w:firstColumn="1" w:lastColumn="0" w:oddVBand="0" w:evenVBand="0" w:oddHBand="0" w:evenHBand="0" w:firstRowFirstColumn="0" w:firstRowLastColumn="0" w:lastRowFirstColumn="0" w:lastRowLastColumn="0"/>
            <w:tcW w:w="2440" w:type="dxa"/>
            <w:noWrap/>
            <w:hideMark/>
          </w:tcPr>
          <w:p w14:paraId="7980FA06" w14:textId="77777777" w:rsidR="009234EB" w:rsidRPr="002A1C7C" w:rsidRDefault="009234EB" w:rsidP="002A1C7C">
            <w:pPr>
              <w:pStyle w:val="Table-Body-leftaligned"/>
              <w:rPr>
                <w:b w:val="0"/>
              </w:rPr>
            </w:pPr>
            <w:r w:rsidRPr="00584811">
              <w:t>Aggregate Stability</w:t>
            </w:r>
          </w:p>
        </w:tc>
        <w:tc>
          <w:tcPr>
            <w:tcW w:w="3420" w:type="dxa"/>
            <w:noWrap/>
            <w:hideMark/>
          </w:tcPr>
          <w:p w14:paraId="6404A6C6"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Water stable aggregates (wet sieving)</w:t>
            </w:r>
          </w:p>
        </w:tc>
        <w:tc>
          <w:tcPr>
            <w:tcW w:w="3420" w:type="dxa"/>
          </w:tcPr>
          <w:p w14:paraId="217ED7AB"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1.50</w:t>
            </w:r>
          </w:p>
        </w:tc>
      </w:tr>
      <w:tr w:rsidR="009234EB" w:rsidRPr="00EB1D71" w14:paraId="2CF64585" w14:textId="77777777" w:rsidTr="002A1C7C">
        <w:trPr>
          <w:trHeight w:val="70"/>
        </w:trPr>
        <w:tc>
          <w:tcPr>
            <w:cnfStyle w:val="001000000000" w:firstRow="0" w:lastRow="0" w:firstColumn="1" w:lastColumn="0" w:oddVBand="0" w:evenVBand="0" w:oddHBand="0" w:evenHBand="0" w:firstRowFirstColumn="0" w:firstRowLastColumn="0" w:lastRowFirstColumn="0" w:lastRowLastColumn="0"/>
            <w:tcW w:w="2440" w:type="dxa"/>
            <w:hideMark/>
          </w:tcPr>
          <w:p w14:paraId="0409C5DE" w14:textId="629AD58E" w:rsidR="009234EB" w:rsidRPr="002A1C7C" w:rsidRDefault="00735BB6" w:rsidP="002A1C7C">
            <w:pPr>
              <w:pStyle w:val="Table-Body-leftaligned"/>
              <w:rPr>
                <w:b w:val="0"/>
              </w:rPr>
            </w:pPr>
            <w:r w:rsidRPr="00584811">
              <w:t>Aggregate Stability</w:t>
            </w:r>
          </w:p>
        </w:tc>
        <w:tc>
          <w:tcPr>
            <w:tcW w:w="3420" w:type="dxa"/>
            <w:noWrap/>
            <w:hideMark/>
          </w:tcPr>
          <w:p w14:paraId="05F890FF"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Slake test</w:t>
            </w:r>
          </w:p>
        </w:tc>
        <w:tc>
          <w:tcPr>
            <w:tcW w:w="3420" w:type="dxa"/>
          </w:tcPr>
          <w:p w14:paraId="2BDF34B8"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0.67</w:t>
            </w:r>
          </w:p>
        </w:tc>
      </w:tr>
    </w:tbl>
    <w:p w14:paraId="51B6A321" w14:textId="77777777" w:rsidR="009234EB" w:rsidRPr="00EB1D71" w:rsidRDefault="009234EB">
      <w:pPr>
        <w:spacing w:line="278" w:lineRule="auto"/>
        <w:rPr>
          <w:rFonts w:asciiTheme="minorHAnsi" w:hAnsiTheme="minorHAnsi" w:cstheme="minorHAnsi"/>
        </w:rPr>
      </w:pPr>
    </w:p>
    <w:p w14:paraId="2167B9FB" w14:textId="77777777" w:rsidR="009234EB" w:rsidRPr="002A1C7C" w:rsidRDefault="009234EB" w:rsidP="009234EB">
      <w:pPr>
        <w:pStyle w:val="Heading4"/>
        <w:rPr>
          <w:rFonts w:asciiTheme="minorHAnsi" w:hAnsiTheme="minorHAnsi" w:cstheme="minorHAnsi"/>
          <w:color w:val="006197" w:themeColor="text1" w:themeShade="BF"/>
        </w:rPr>
      </w:pPr>
      <w:bookmarkStart w:id="59" w:name="_Toc228622087"/>
      <w:r w:rsidRPr="002A1C7C">
        <w:rPr>
          <w:rFonts w:asciiTheme="minorHAnsi" w:hAnsiTheme="minorHAnsi" w:cstheme="minorHAnsi"/>
          <w:color w:val="006197" w:themeColor="text1" w:themeShade="BF"/>
        </w:rPr>
        <w:t>Changes in indicator indicate a change in soil health/positive impact on EGS delivery</w:t>
      </w:r>
      <w:bookmarkEnd w:id="59"/>
      <w:r w:rsidRPr="002A1C7C">
        <w:rPr>
          <w:rFonts w:asciiTheme="minorHAnsi" w:hAnsiTheme="minorHAnsi" w:cstheme="minorHAnsi"/>
          <w:color w:val="006197" w:themeColor="text1" w:themeShade="BF"/>
        </w:rPr>
        <w:tab/>
      </w:r>
    </w:p>
    <w:p w14:paraId="2356A13C" w14:textId="25B204D0" w:rsidR="009234EB" w:rsidRPr="00EB1D71" w:rsidRDefault="009234EB" w:rsidP="00B61993">
      <w:pPr>
        <w:rPr>
          <w:rFonts w:asciiTheme="minorHAnsi" w:hAnsiTheme="minorHAnsi" w:cstheme="minorHAnsi"/>
        </w:rPr>
      </w:pPr>
      <w:r w:rsidRPr="00EB1D71">
        <w:rPr>
          <w:rFonts w:asciiTheme="minorHAnsi" w:hAnsiTheme="minorHAnsi" w:cstheme="minorHAnsi"/>
        </w:rPr>
        <w:t>From the sources reviewed, an average score for indicator capacity to detect early changes to each of the six specified soil related EGS was calculated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_Ref224295131 \h </w:instrText>
      </w:r>
      <w:r w:rsid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10</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It was not possible to differentiate between the two methods for the analysis of Active C, based on the details provided in the reviewed sources, so an overall score is given for the metric as opposed to differentiating between the specified methods. The indicator which scored the highest for potential to monitor provision of soil related EGS was wet sieved water stable aggregates, followed closely by active carbon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_Ref224295131 \h </w:instrText>
      </w:r>
      <w:r w:rsid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10</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The indicator which was found to have the lowest score for links to provisioning of soil-related EGS was PMN – this was driven by lower scores in water regulation and nutrient supply - P&amp;K categories, compared to strong scores in the food production and N provisioning categories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_Ref224295131 \h </w:instrText>
      </w:r>
      <w:r w:rsidR="00AB0486"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10</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xml:space="preserve">). </w:t>
      </w:r>
    </w:p>
    <w:p w14:paraId="6E9736AD" w14:textId="77777777" w:rsidR="009234EB" w:rsidRPr="00EB1D71" w:rsidRDefault="009234EB" w:rsidP="00B61993">
      <w:pPr>
        <w:rPr>
          <w:rFonts w:asciiTheme="minorHAnsi" w:hAnsiTheme="minorHAnsi" w:cstheme="minorHAnsi"/>
        </w:rPr>
      </w:pPr>
    </w:p>
    <w:p w14:paraId="11C0207C" w14:textId="77777777" w:rsidR="009234EB" w:rsidRPr="00EB1D71" w:rsidRDefault="009234EB">
      <w:pPr>
        <w:spacing w:line="278" w:lineRule="auto"/>
        <w:rPr>
          <w:rFonts w:asciiTheme="minorHAnsi" w:hAnsiTheme="minorHAnsi" w:cstheme="minorHAnsi"/>
        </w:rPr>
        <w:sectPr w:rsidR="009234EB" w:rsidRPr="00EB1D71" w:rsidSect="00A635D2">
          <w:pgSz w:w="11906" w:h="16838"/>
          <w:pgMar w:top="1418" w:right="1418" w:bottom="1418" w:left="1418" w:header="709" w:footer="454" w:gutter="0"/>
          <w:cols w:space="708"/>
          <w:docGrid w:linePitch="360"/>
        </w:sectPr>
      </w:pPr>
    </w:p>
    <w:p w14:paraId="4000A15D" w14:textId="11CB7B28" w:rsidR="009234EB" w:rsidRPr="00EB1D71" w:rsidRDefault="009234EB" w:rsidP="009234EB">
      <w:pPr>
        <w:pStyle w:val="Caption"/>
        <w:spacing w:after="0"/>
        <w:rPr>
          <w:rFonts w:asciiTheme="minorHAnsi" w:hAnsiTheme="minorHAnsi" w:cstheme="minorHAnsi"/>
        </w:rPr>
      </w:pPr>
      <w:bookmarkStart w:id="60" w:name="_Ref224295131"/>
      <w:bookmarkStart w:id="61" w:name="_Toc228622116"/>
      <w:r w:rsidRPr="00EB1D71">
        <w:rPr>
          <w:rFonts w:asciiTheme="minorHAnsi" w:hAnsiTheme="minorHAnsi" w:cstheme="minorHAnsi"/>
        </w:rPr>
        <w:lastRenderedPageBreak/>
        <w:t xml:space="preserve">Table </w:t>
      </w:r>
      <w:r w:rsidR="009A568B" w:rsidRPr="00EB1D71">
        <w:rPr>
          <w:rFonts w:asciiTheme="minorHAnsi" w:hAnsiTheme="minorHAnsi" w:cstheme="minorHAnsi"/>
        </w:rPr>
        <w:fldChar w:fldCharType="begin"/>
      </w:r>
      <w:r w:rsidR="009A568B" w:rsidRPr="00EB1D71">
        <w:rPr>
          <w:rFonts w:asciiTheme="minorHAnsi" w:hAnsiTheme="minorHAnsi" w:cstheme="minorHAnsi"/>
        </w:rPr>
        <w:instrText xml:space="preserve"> SEQ Table \* ARABIC </w:instrText>
      </w:r>
      <w:r w:rsidR="009A568B" w:rsidRPr="00EB1D71">
        <w:rPr>
          <w:rFonts w:asciiTheme="minorHAnsi" w:hAnsiTheme="minorHAnsi" w:cstheme="minorHAnsi"/>
        </w:rPr>
        <w:fldChar w:fldCharType="separate"/>
      </w:r>
      <w:r w:rsidR="00C400DA">
        <w:rPr>
          <w:rFonts w:asciiTheme="minorHAnsi" w:hAnsiTheme="minorHAnsi" w:cstheme="minorHAnsi"/>
          <w:noProof/>
        </w:rPr>
        <w:t>10</w:t>
      </w:r>
      <w:r w:rsidR="009A568B" w:rsidRPr="00EB1D71">
        <w:rPr>
          <w:rFonts w:asciiTheme="minorHAnsi" w:hAnsiTheme="minorHAnsi" w:cstheme="minorHAnsi"/>
          <w:noProof/>
        </w:rPr>
        <w:fldChar w:fldCharType="end"/>
      </w:r>
      <w:bookmarkEnd w:id="60"/>
      <w:r w:rsidRPr="00EB1D71">
        <w:rPr>
          <w:rFonts w:asciiTheme="minorHAnsi" w:hAnsiTheme="minorHAnsi" w:cstheme="minorHAnsi"/>
        </w:rPr>
        <w:t>. Average scores obtained for each indicator and method for potential to monitor provisioning of soil health related EGS</w:t>
      </w:r>
      <w:bookmarkEnd w:id="61"/>
    </w:p>
    <w:tbl>
      <w:tblPr>
        <w:tblStyle w:val="TableGrid"/>
        <w:tblW w:w="14170" w:type="dxa"/>
        <w:tblLayout w:type="fixed"/>
        <w:tblLook w:val="04A0" w:firstRow="1" w:lastRow="0" w:firstColumn="1" w:lastColumn="0" w:noHBand="0" w:noVBand="1"/>
      </w:tblPr>
      <w:tblGrid>
        <w:gridCol w:w="1413"/>
        <w:gridCol w:w="1559"/>
        <w:gridCol w:w="1701"/>
        <w:gridCol w:w="1843"/>
        <w:gridCol w:w="1417"/>
        <w:gridCol w:w="1843"/>
        <w:gridCol w:w="1701"/>
        <w:gridCol w:w="1559"/>
        <w:gridCol w:w="1134"/>
      </w:tblGrid>
      <w:tr w:rsidR="009234EB" w:rsidRPr="00EB1D71" w14:paraId="7DEDFE6E" w14:textId="77777777" w:rsidTr="009234EB">
        <w:trPr>
          <w:cnfStyle w:val="100000000000" w:firstRow="1" w:lastRow="0" w:firstColumn="0" w:lastColumn="0" w:oddVBand="0" w:evenVBand="0" w:oddHBand="0" w:evenHBand="0" w:firstRowFirstColumn="0" w:firstRowLastColumn="0" w:lastRowFirstColumn="0" w:lastRowLastColumn="0"/>
          <w:trHeight w:val="1053"/>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0F6B6B5" w14:textId="77777777" w:rsidR="009234EB" w:rsidRPr="00B22117" w:rsidRDefault="009234EB" w:rsidP="002A1C7C">
            <w:pPr>
              <w:pStyle w:val="TableHeading-centred-bold"/>
            </w:pPr>
            <w:r w:rsidRPr="002A1C7C">
              <w:rPr>
                <w:b/>
              </w:rPr>
              <w:t>Indicator</w:t>
            </w:r>
          </w:p>
        </w:tc>
        <w:tc>
          <w:tcPr>
            <w:tcW w:w="1559" w:type="dxa"/>
            <w:noWrap/>
            <w:hideMark/>
          </w:tcPr>
          <w:p w14:paraId="53CC1738" w14:textId="77777777" w:rsidR="009234EB" w:rsidRPr="00B22117"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Method</w:t>
            </w:r>
          </w:p>
        </w:tc>
        <w:tc>
          <w:tcPr>
            <w:tcW w:w="1701" w:type="dxa"/>
          </w:tcPr>
          <w:p w14:paraId="57A39489" w14:textId="77777777" w:rsidR="009234EB" w:rsidRPr="00B22117"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Food, biomass and fibre</w:t>
            </w:r>
          </w:p>
        </w:tc>
        <w:tc>
          <w:tcPr>
            <w:tcW w:w="1843" w:type="dxa"/>
          </w:tcPr>
          <w:p w14:paraId="398639C4" w14:textId="3423BE14" w:rsidR="009234EB" w:rsidRPr="00B22117"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Nutrient cycling – provision of N</w:t>
            </w:r>
          </w:p>
        </w:tc>
        <w:tc>
          <w:tcPr>
            <w:tcW w:w="1417" w:type="dxa"/>
          </w:tcPr>
          <w:p w14:paraId="6D62E08D" w14:textId="77777777" w:rsidR="009234EB" w:rsidRPr="00B22117"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Nutrient cycling – provision of P&amp;K</w:t>
            </w:r>
          </w:p>
        </w:tc>
        <w:tc>
          <w:tcPr>
            <w:tcW w:w="1843" w:type="dxa"/>
          </w:tcPr>
          <w:p w14:paraId="054D84F3" w14:textId="77777777" w:rsidR="009234EB" w:rsidRPr="00B22117"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Water regulation - flood prevention</w:t>
            </w:r>
          </w:p>
        </w:tc>
        <w:tc>
          <w:tcPr>
            <w:tcW w:w="1701" w:type="dxa"/>
          </w:tcPr>
          <w:p w14:paraId="09F21E58" w14:textId="77777777" w:rsidR="009234EB" w:rsidRPr="00B22117"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Water regulation - drought alleviation</w:t>
            </w:r>
          </w:p>
        </w:tc>
        <w:tc>
          <w:tcPr>
            <w:tcW w:w="1559" w:type="dxa"/>
          </w:tcPr>
          <w:p w14:paraId="2882D50F" w14:textId="77777777" w:rsidR="009234EB" w:rsidRPr="00B22117"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Climate mitigation through C sequestration</w:t>
            </w:r>
          </w:p>
        </w:tc>
        <w:tc>
          <w:tcPr>
            <w:tcW w:w="1134" w:type="dxa"/>
          </w:tcPr>
          <w:p w14:paraId="3E34780A" w14:textId="77777777" w:rsidR="009234EB" w:rsidRPr="00B22117"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Overall soil EGS Score</w:t>
            </w:r>
          </w:p>
        </w:tc>
      </w:tr>
      <w:tr w:rsidR="009234EB" w:rsidRPr="00EB1D71" w14:paraId="4DCF0CE9" w14:textId="77777777" w:rsidTr="009234EB">
        <w:trPr>
          <w:trHeight w:val="306"/>
        </w:trPr>
        <w:tc>
          <w:tcPr>
            <w:cnfStyle w:val="001000000000" w:firstRow="0" w:lastRow="0" w:firstColumn="1" w:lastColumn="0" w:oddVBand="0" w:evenVBand="0" w:oddHBand="0" w:evenHBand="0" w:firstRowFirstColumn="0" w:firstRowLastColumn="0" w:lastRowFirstColumn="0" w:lastRowLastColumn="0"/>
            <w:tcW w:w="1413" w:type="dxa"/>
            <w:noWrap/>
            <w:hideMark/>
          </w:tcPr>
          <w:p w14:paraId="2E46CA42" w14:textId="77777777" w:rsidR="009234EB" w:rsidRPr="002A1C7C" w:rsidRDefault="009234EB" w:rsidP="002A1C7C">
            <w:pPr>
              <w:pStyle w:val="Table-Body-leftaligned"/>
              <w:rPr>
                <w:b w:val="0"/>
              </w:rPr>
            </w:pPr>
            <w:r w:rsidRPr="00584811">
              <w:t>PMN</w:t>
            </w:r>
          </w:p>
        </w:tc>
        <w:tc>
          <w:tcPr>
            <w:tcW w:w="1559" w:type="dxa"/>
            <w:noWrap/>
            <w:hideMark/>
          </w:tcPr>
          <w:p w14:paraId="6CCA0909" w14:textId="0D9261C1"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7-day anaerobic incubation</w:t>
            </w:r>
          </w:p>
        </w:tc>
        <w:tc>
          <w:tcPr>
            <w:tcW w:w="1701" w:type="dxa"/>
          </w:tcPr>
          <w:p w14:paraId="1DC98DEA"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2.40</w:t>
            </w:r>
          </w:p>
        </w:tc>
        <w:tc>
          <w:tcPr>
            <w:tcW w:w="1843" w:type="dxa"/>
          </w:tcPr>
          <w:p w14:paraId="5856165C"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1.8</w:t>
            </w:r>
          </w:p>
        </w:tc>
        <w:tc>
          <w:tcPr>
            <w:tcW w:w="1417" w:type="dxa"/>
          </w:tcPr>
          <w:p w14:paraId="79A4A4C8"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0.40</w:t>
            </w:r>
          </w:p>
        </w:tc>
        <w:tc>
          <w:tcPr>
            <w:tcW w:w="1843" w:type="dxa"/>
          </w:tcPr>
          <w:p w14:paraId="3C5272EF"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0.33</w:t>
            </w:r>
          </w:p>
        </w:tc>
        <w:tc>
          <w:tcPr>
            <w:tcW w:w="1701" w:type="dxa"/>
          </w:tcPr>
          <w:p w14:paraId="4210126A"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0.33</w:t>
            </w:r>
          </w:p>
        </w:tc>
        <w:tc>
          <w:tcPr>
            <w:tcW w:w="1559" w:type="dxa"/>
          </w:tcPr>
          <w:p w14:paraId="7D9F534E"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0.67</w:t>
            </w:r>
          </w:p>
        </w:tc>
        <w:tc>
          <w:tcPr>
            <w:tcW w:w="1134" w:type="dxa"/>
          </w:tcPr>
          <w:p w14:paraId="644BDFA1"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5.93</w:t>
            </w:r>
          </w:p>
        </w:tc>
      </w:tr>
      <w:tr w:rsidR="009234EB" w:rsidRPr="00EB1D71" w14:paraId="5B2669A4" w14:textId="77777777" w:rsidTr="009234EB">
        <w:trPr>
          <w:trHeight w:val="306"/>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B2F364A" w14:textId="77777777" w:rsidR="009234EB" w:rsidRPr="002A1C7C" w:rsidRDefault="009234EB" w:rsidP="002A1C7C">
            <w:pPr>
              <w:pStyle w:val="Table-Body-leftaligned"/>
              <w:rPr>
                <w:b w:val="0"/>
              </w:rPr>
            </w:pPr>
            <w:r w:rsidRPr="00584811">
              <w:t xml:space="preserve">Active C </w:t>
            </w:r>
          </w:p>
        </w:tc>
        <w:tc>
          <w:tcPr>
            <w:tcW w:w="1559" w:type="dxa"/>
            <w:noWrap/>
            <w:hideMark/>
          </w:tcPr>
          <w:p w14:paraId="7D428115"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Potassium permanganate extraction</w:t>
            </w:r>
          </w:p>
        </w:tc>
        <w:tc>
          <w:tcPr>
            <w:tcW w:w="1701" w:type="dxa"/>
          </w:tcPr>
          <w:p w14:paraId="7B5EF86A"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2.00</w:t>
            </w:r>
          </w:p>
        </w:tc>
        <w:tc>
          <w:tcPr>
            <w:tcW w:w="1843" w:type="dxa"/>
          </w:tcPr>
          <w:p w14:paraId="056CE908"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417" w:type="dxa"/>
          </w:tcPr>
          <w:p w14:paraId="3E348863"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1.40</w:t>
            </w:r>
          </w:p>
        </w:tc>
        <w:tc>
          <w:tcPr>
            <w:tcW w:w="1843" w:type="dxa"/>
          </w:tcPr>
          <w:p w14:paraId="00610573"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1.67</w:t>
            </w:r>
          </w:p>
        </w:tc>
        <w:tc>
          <w:tcPr>
            <w:tcW w:w="1701" w:type="dxa"/>
          </w:tcPr>
          <w:p w14:paraId="251ACB32"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1.5</w:t>
            </w:r>
          </w:p>
        </w:tc>
        <w:tc>
          <w:tcPr>
            <w:tcW w:w="1559" w:type="dxa"/>
          </w:tcPr>
          <w:p w14:paraId="0FF1FC69"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1.67</w:t>
            </w:r>
          </w:p>
        </w:tc>
        <w:tc>
          <w:tcPr>
            <w:tcW w:w="1134" w:type="dxa"/>
          </w:tcPr>
          <w:p w14:paraId="516CEF55"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9.24</w:t>
            </w:r>
          </w:p>
        </w:tc>
      </w:tr>
      <w:tr w:rsidR="009234EB" w:rsidRPr="00EB1D71" w14:paraId="5BCAF64C" w14:textId="77777777" w:rsidTr="009234EB">
        <w:trPr>
          <w:trHeight w:val="306"/>
        </w:trPr>
        <w:tc>
          <w:tcPr>
            <w:cnfStyle w:val="001000000000" w:firstRow="0" w:lastRow="0" w:firstColumn="1" w:lastColumn="0" w:oddVBand="0" w:evenVBand="0" w:oddHBand="0" w:evenHBand="0" w:firstRowFirstColumn="0" w:firstRowLastColumn="0" w:lastRowFirstColumn="0" w:lastRowLastColumn="0"/>
            <w:tcW w:w="1413" w:type="dxa"/>
            <w:noWrap/>
            <w:hideMark/>
          </w:tcPr>
          <w:p w14:paraId="6BAFA9A4" w14:textId="77777777" w:rsidR="009234EB" w:rsidRPr="002A1C7C" w:rsidRDefault="009234EB" w:rsidP="002A1C7C">
            <w:pPr>
              <w:pStyle w:val="Table-Body-leftaligned"/>
              <w:rPr>
                <w:b w:val="0"/>
              </w:rPr>
            </w:pPr>
            <w:r w:rsidRPr="00584811">
              <w:t>Crop Root Architecture</w:t>
            </w:r>
          </w:p>
        </w:tc>
        <w:tc>
          <w:tcPr>
            <w:tcW w:w="1559" w:type="dxa"/>
            <w:noWrap/>
            <w:hideMark/>
          </w:tcPr>
          <w:p w14:paraId="4D0BFC74"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proofErr w:type="spellStart"/>
            <w:r w:rsidRPr="003B3662">
              <w:rPr>
                <w:bCs/>
              </w:rPr>
              <w:t>Shovelomics</w:t>
            </w:r>
            <w:proofErr w:type="spellEnd"/>
          </w:p>
        </w:tc>
        <w:tc>
          <w:tcPr>
            <w:tcW w:w="1701" w:type="dxa"/>
          </w:tcPr>
          <w:p w14:paraId="5FE0BBFD"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2.33</w:t>
            </w:r>
          </w:p>
        </w:tc>
        <w:tc>
          <w:tcPr>
            <w:tcW w:w="1843" w:type="dxa"/>
          </w:tcPr>
          <w:p w14:paraId="4B98CE8C"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417" w:type="dxa"/>
          </w:tcPr>
          <w:p w14:paraId="4038B171"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1.00</w:t>
            </w:r>
          </w:p>
        </w:tc>
        <w:tc>
          <w:tcPr>
            <w:tcW w:w="1843" w:type="dxa"/>
          </w:tcPr>
          <w:p w14:paraId="59FC1B0F"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1.00</w:t>
            </w:r>
          </w:p>
        </w:tc>
        <w:tc>
          <w:tcPr>
            <w:tcW w:w="1701" w:type="dxa"/>
          </w:tcPr>
          <w:p w14:paraId="37A6F494"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1.00</w:t>
            </w:r>
          </w:p>
        </w:tc>
        <w:tc>
          <w:tcPr>
            <w:tcW w:w="1559" w:type="dxa"/>
          </w:tcPr>
          <w:p w14:paraId="1B019B59"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0.60</w:t>
            </w:r>
          </w:p>
        </w:tc>
        <w:tc>
          <w:tcPr>
            <w:tcW w:w="1134" w:type="dxa"/>
          </w:tcPr>
          <w:p w14:paraId="27B1670C"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6.93</w:t>
            </w:r>
          </w:p>
        </w:tc>
      </w:tr>
      <w:tr w:rsidR="009234EB" w:rsidRPr="00EB1D71" w14:paraId="036CB3E4" w14:textId="77777777" w:rsidTr="009234EB">
        <w:trPr>
          <w:trHeight w:val="306"/>
        </w:trPr>
        <w:tc>
          <w:tcPr>
            <w:cnfStyle w:val="001000000000" w:firstRow="0" w:lastRow="0" w:firstColumn="1" w:lastColumn="0" w:oddVBand="0" w:evenVBand="0" w:oddHBand="0" w:evenHBand="0" w:firstRowFirstColumn="0" w:firstRowLastColumn="0" w:lastRowFirstColumn="0" w:lastRowLastColumn="0"/>
            <w:tcW w:w="1413" w:type="dxa"/>
            <w:noWrap/>
            <w:hideMark/>
          </w:tcPr>
          <w:p w14:paraId="1457B1A1" w14:textId="77777777" w:rsidR="009234EB" w:rsidRPr="002A1C7C" w:rsidRDefault="009234EB" w:rsidP="002A1C7C">
            <w:pPr>
              <w:pStyle w:val="Table-Body-leftaligned"/>
              <w:rPr>
                <w:b w:val="0"/>
              </w:rPr>
            </w:pPr>
            <w:r w:rsidRPr="00584811">
              <w:t>Aggregate Stability</w:t>
            </w:r>
          </w:p>
        </w:tc>
        <w:tc>
          <w:tcPr>
            <w:tcW w:w="1559" w:type="dxa"/>
            <w:noWrap/>
            <w:hideMark/>
          </w:tcPr>
          <w:p w14:paraId="0346362C"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Wet sieving</w:t>
            </w:r>
          </w:p>
        </w:tc>
        <w:tc>
          <w:tcPr>
            <w:tcW w:w="1701" w:type="dxa"/>
          </w:tcPr>
          <w:p w14:paraId="3798F0CE"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2.67</w:t>
            </w:r>
          </w:p>
        </w:tc>
        <w:tc>
          <w:tcPr>
            <w:tcW w:w="1843" w:type="dxa"/>
          </w:tcPr>
          <w:p w14:paraId="015AD8DF"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2.2</w:t>
            </w:r>
          </w:p>
        </w:tc>
        <w:tc>
          <w:tcPr>
            <w:tcW w:w="1417" w:type="dxa"/>
          </w:tcPr>
          <w:p w14:paraId="153E98D0"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2.2</w:t>
            </w:r>
          </w:p>
        </w:tc>
        <w:tc>
          <w:tcPr>
            <w:tcW w:w="1843" w:type="dxa"/>
          </w:tcPr>
          <w:p w14:paraId="1D792714"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1.5</w:t>
            </w:r>
          </w:p>
        </w:tc>
        <w:tc>
          <w:tcPr>
            <w:tcW w:w="1701" w:type="dxa"/>
          </w:tcPr>
          <w:p w14:paraId="4BDCDC21"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1.33</w:t>
            </w:r>
          </w:p>
        </w:tc>
        <w:tc>
          <w:tcPr>
            <w:tcW w:w="1559" w:type="dxa"/>
          </w:tcPr>
          <w:p w14:paraId="72F5C679"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1.33</w:t>
            </w:r>
          </w:p>
        </w:tc>
        <w:tc>
          <w:tcPr>
            <w:tcW w:w="1134" w:type="dxa"/>
          </w:tcPr>
          <w:p w14:paraId="59CC0871"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11.33</w:t>
            </w:r>
          </w:p>
        </w:tc>
      </w:tr>
    </w:tbl>
    <w:p w14:paraId="274AE2C4" w14:textId="77777777" w:rsidR="009234EB" w:rsidRPr="00EB1D71" w:rsidRDefault="009234EB" w:rsidP="009234EB">
      <w:pPr>
        <w:rPr>
          <w:rFonts w:asciiTheme="minorHAnsi" w:hAnsiTheme="minorHAnsi" w:cstheme="minorHAnsi"/>
        </w:rPr>
      </w:pPr>
    </w:p>
    <w:p w14:paraId="7D15B036" w14:textId="77777777" w:rsidR="009234EB" w:rsidRPr="00EB1D71" w:rsidRDefault="009234EB">
      <w:pPr>
        <w:spacing w:line="278" w:lineRule="auto"/>
        <w:rPr>
          <w:rFonts w:asciiTheme="minorHAnsi" w:hAnsiTheme="minorHAnsi" w:cstheme="minorHAnsi"/>
        </w:rPr>
      </w:pPr>
    </w:p>
    <w:p w14:paraId="10A95A46" w14:textId="77777777" w:rsidR="009234EB" w:rsidRPr="00EB1D71" w:rsidRDefault="009234EB">
      <w:pPr>
        <w:spacing w:line="278" w:lineRule="auto"/>
        <w:rPr>
          <w:rFonts w:asciiTheme="minorHAnsi" w:hAnsiTheme="minorHAnsi" w:cstheme="minorHAnsi"/>
        </w:rPr>
        <w:sectPr w:rsidR="009234EB" w:rsidRPr="00EB1D71" w:rsidSect="009234EB">
          <w:pgSz w:w="16838" w:h="11906" w:orient="landscape"/>
          <w:pgMar w:top="1418" w:right="1418" w:bottom="1418" w:left="1418" w:header="709" w:footer="454" w:gutter="0"/>
          <w:cols w:space="708"/>
          <w:docGrid w:linePitch="360"/>
        </w:sectPr>
      </w:pPr>
    </w:p>
    <w:p w14:paraId="6326694E" w14:textId="77777777" w:rsidR="009234EB" w:rsidRPr="002A1C7C" w:rsidRDefault="009234EB" w:rsidP="009234EB">
      <w:pPr>
        <w:pStyle w:val="Heading4"/>
        <w:rPr>
          <w:rFonts w:asciiTheme="minorHAnsi" w:hAnsiTheme="minorHAnsi" w:cstheme="minorHAnsi"/>
          <w:color w:val="006197" w:themeColor="text1" w:themeShade="BF"/>
        </w:rPr>
      </w:pPr>
      <w:bookmarkStart w:id="62" w:name="_Toc228622088"/>
      <w:r w:rsidRPr="002A1C7C">
        <w:rPr>
          <w:rFonts w:asciiTheme="minorHAnsi" w:hAnsiTheme="minorHAnsi" w:cstheme="minorHAnsi"/>
          <w:color w:val="006197" w:themeColor="text1" w:themeShade="BF"/>
        </w:rPr>
        <w:lastRenderedPageBreak/>
        <w:t>Availability of robust UK relevant data</w:t>
      </w:r>
      <w:bookmarkEnd w:id="62"/>
    </w:p>
    <w:p w14:paraId="53A2C008" w14:textId="0DF65467" w:rsidR="009234EB" w:rsidRPr="00EB1D71" w:rsidRDefault="009234EB" w:rsidP="00B61993">
      <w:pPr>
        <w:rPr>
          <w:rFonts w:asciiTheme="minorHAnsi" w:hAnsiTheme="minorHAnsi" w:cstheme="minorHAnsi"/>
        </w:rPr>
      </w:pPr>
      <w:r w:rsidRPr="00EB1D71">
        <w:rPr>
          <w:rFonts w:asciiTheme="minorHAnsi" w:hAnsiTheme="minorHAnsi" w:cstheme="minorHAnsi"/>
        </w:rPr>
        <w:t xml:space="preserve">The data repositories described in </w:t>
      </w:r>
      <w:r w:rsidR="00DB65D4" w:rsidRPr="00EB1D71">
        <w:rPr>
          <w:rFonts w:asciiTheme="minorHAnsi" w:hAnsiTheme="minorHAnsi" w:cstheme="minorHAnsi"/>
        </w:rPr>
        <w:t>‘</w:t>
      </w:r>
      <w:r w:rsidRPr="00EB1D71">
        <w:rPr>
          <w:rFonts w:asciiTheme="minorHAnsi" w:hAnsiTheme="minorHAnsi" w:cstheme="minorHAnsi"/>
        </w:rPr>
        <w:t>Methods - Data availability</w:t>
      </w:r>
      <w:r w:rsidR="00DB65D4" w:rsidRPr="00EB1D71">
        <w:rPr>
          <w:rFonts w:asciiTheme="minorHAnsi" w:hAnsiTheme="minorHAnsi" w:cstheme="minorHAnsi"/>
        </w:rPr>
        <w:t>’</w:t>
      </w:r>
      <w:r w:rsidRPr="00EB1D71">
        <w:rPr>
          <w:rFonts w:asciiTheme="minorHAnsi" w:hAnsiTheme="minorHAnsi" w:cstheme="minorHAnsi"/>
        </w:rPr>
        <w:t xml:space="preserve"> were reviewed. Some potentially useful datasets were identified. The </w:t>
      </w:r>
      <w:hyperlink r:id="rId39" w:history="1">
        <w:r w:rsidRPr="00EB1D71">
          <w:rPr>
            <w:rStyle w:val="Normal-hyperlink-boldChar"/>
            <w:rFonts w:asciiTheme="minorHAnsi" w:hAnsiTheme="minorHAnsi" w:cstheme="minorHAnsi"/>
          </w:rPr>
          <w:t>2007 England Countryside Survey data</w:t>
        </w:r>
      </w:hyperlink>
      <w:r w:rsidRPr="00EB1D71">
        <w:rPr>
          <w:rFonts w:asciiTheme="minorHAnsi" w:hAnsiTheme="minorHAnsi" w:cstheme="minorHAnsi"/>
        </w:rPr>
        <w:t xml:space="preserve"> is freely available and includes aggregate stability, particle size distribution and land use information from 419 sample locations. In Europe the LUCAS 2018 dataset on soil function includes 885 measurements of water stable aggregates linked to a variety of measures of soil biological function and diversity. A search on “soil health” in the </w:t>
      </w:r>
      <w:proofErr w:type="spellStart"/>
      <w:r w:rsidRPr="00EB1D71">
        <w:rPr>
          <w:rFonts w:asciiTheme="minorHAnsi" w:hAnsiTheme="minorHAnsi" w:cstheme="minorHAnsi"/>
        </w:rPr>
        <w:t>AgDataCommons</w:t>
      </w:r>
      <w:proofErr w:type="spellEnd"/>
      <w:r w:rsidRPr="00EB1D71">
        <w:rPr>
          <w:rFonts w:asciiTheme="minorHAnsi" w:hAnsiTheme="minorHAnsi" w:cstheme="minorHAnsi"/>
        </w:rPr>
        <w:t xml:space="preserve">, which is the USDA’s online repository powered by </w:t>
      </w:r>
      <w:proofErr w:type="spellStart"/>
      <w:r w:rsidRPr="00EB1D71">
        <w:rPr>
          <w:rFonts w:asciiTheme="minorHAnsi" w:hAnsiTheme="minorHAnsi" w:cstheme="minorHAnsi"/>
        </w:rPr>
        <w:t>FigShare</w:t>
      </w:r>
      <w:proofErr w:type="spellEnd"/>
      <w:r w:rsidRPr="00EB1D71">
        <w:rPr>
          <w:rFonts w:asciiTheme="minorHAnsi" w:hAnsiTheme="minorHAnsi" w:cstheme="minorHAnsi"/>
        </w:rPr>
        <w:t xml:space="preserve">, returned 57 results. This included a </w:t>
      </w:r>
      <w:hyperlink r:id="rId40" w:history="1">
        <w:r w:rsidRPr="00EB1D71">
          <w:rPr>
            <w:rStyle w:val="Normal-hyperlink-boldChar"/>
            <w:rFonts w:asciiTheme="minorHAnsi" w:hAnsiTheme="minorHAnsi" w:cstheme="minorHAnsi"/>
          </w:rPr>
          <w:t>comprehensive dataset</w:t>
        </w:r>
      </w:hyperlink>
      <w:r w:rsidRPr="00EB1D71">
        <w:rPr>
          <w:rFonts w:asciiTheme="minorHAnsi" w:hAnsiTheme="minorHAnsi" w:cstheme="minorHAnsi"/>
        </w:rPr>
        <w:t xml:space="preserve"> (489 records) from the Dynamic Soil Properties for Soil Health (DSP4SH) initiative that covers various measures of aggregate stability and active C with useful additional information on management and soil characteristics. The </w:t>
      </w:r>
      <w:proofErr w:type="spellStart"/>
      <w:r w:rsidRPr="00EB1D71">
        <w:rPr>
          <w:rFonts w:asciiTheme="minorHAnsi" w:hAnsiTheme="minorHAnsi" w:cstheme="minorHAnsi"/>
        </w:rPr>
        <w:t>AgDataCommons</w:t>
      </w:r>
      <w:proofErr w:type="spellEnd"/>
      <w:r w:rsidRPr="00EB1D71">
        <w:rPr>
          <w:rFonts w:asciiTheme="minorHAnsi" w:hAnsiTheme="minorHAnsi" w:cstheme="minorHAnsi"/>
        </w:rPr>
        <w:t xml:space="preserve"> search also identified a large </w:t>
      </w:r>
      <w:hyperlink r:id="rId41" w:history="1">
        <w:r w:rsidRPr="00EB1D71">
          <w:rPr>
            <w:rStyle w:val="Normal-hyperlink-boldChar"/>
            <w:rFonts w:asciiTheme="minorHAnsi" w:hAnsiTheme="minorHAnsi" w:cstheme="minorHAnsi"/>
          </w:rPr>
          <w:t>dataset</w:t>
        </w:r>
      </w:hyperlink>
      <w:r w:rsidRPr="00EB1D71">
        <w:rPr>
          <w:rFonts w:asciiTheme="minorHAnsi" w:hAnsiTheme="minorHAnsi" w:cstheme="minorHAnsi"/>
        </w:rPr>
        <w:t xml:space="preserve"> (1453 records) published by the US-based Soil Health Institute (North American Project to Evaluate Soil Health Measurements, or NAPESHM), covering PMN, active carbon, slake testing and aggregate stability. </w:t>
      </w:r>
    </w:p>
    <w:p w14:paraId="1B5A619C" w14:textId="5A2CFF67" w:rsidR="009234EB" w:rsidRPr="00EB1D71" w:rsidRDefault="009234EB" w:rsidP="00B61993">
      <w:pPr>
        <w:rPr>
          <w:rFonts w:asciiTheme="minorHAnsi" w:hAnsiTheme="minorHAnsi" w:cstheme="minorHAnsi"/>
        </w:rPr>
      </w:pPr>
      <w:r w:rsidRPr="00EB1D71">
        <w:rPr>
          <w:rFonts w:asciiTheme="minorHAnsi" w:hAnsiTheme="minorHAnsi" w:cstheme="minorHAnsi"/>
        </w:rPr>
        <w:t xml:space="preserve">The details on numbers of datasets identified and scoring of each indicator based on data availability are shown in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_Ref226206600 \h </w:instrText>
      </w:r>
      <w:r w:rsidR="00E522A8"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11</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xml:space="preserve">. It is notable that there were no publicly available datasets identified for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and datasets for crop rooting in general were limited. The indicators with the highest scores for availability of data were potentially mineralisable nitrogen and active carbon; but these scores were skewed due to the large volumes of data collected by commercial laboratories for these indicators. Other important indicators (e.g. aggregate stability) are not offered by commercial laboratories; nonetheless a total of 20 experimental datasets linked to aggregate stability were identified dominated by studies using wet sieving methods (“other” in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_Ref226206600 \h </w:instrText>
      </w:r>
      <w:r w:rsidR="00E522A8"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11</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xml:space="preserve">) and representing a useful resource for development of interpretation frameworks. </w:t>
      </w:r>
    </w:p>
    <w:p w14:paraId="6261FA12" w14:textId="77777777" w:rsidR="009234EB" w:rsidRPr="00EB1D71" w:rsidRDefault="009234EB">
      <w:pPr>
        <w:spacing w:line="278" w:lineRule="auto"/>
        <w:rPr>
          <w:rFonts w:asciiTheme="minorHAnsi" w:hAnsiTheme="minorHAnsi" w:cstheme="minorHAnsi"/>
        </w:rPr>
        <w:sectPr w:rsidR="009234EB" w:rsidRPr="00EB1D71" w:rsidSect="00A635D2">
          <w:pgSz w:w="11906" w:h="16838"/>
          <w:pgMar w:top="1418" w:right="1418" w:bottom="1418" w:left="1418" w:header="709" w:footer="454" w:gutter="0"/>
          <w:cols w:space="708"/>
          <w:docGrid w:linePitch="360"/>
        </w:sectPr>
      </w:pPr>
    </w:p>
    <w:p w14:paraId="37CFD0C7" w14:textId="60C784F4" w:rsidR="009234EB" w:rsidRPr="00EB1D71" w:rsidRDefault="009234EB" w:rsidP="004F3EB4">
      <w:pPr>
        <w:pStyle w:val="Caption"/>
        <w:rPr>
          <w:rFonts w:asciiTheme="minorHAnsi" w:hAnsiTheme="minorHAnsi" w:cstheme="minorHAnsi"/>
        </w:rPr>
      </w:pPr>
      <w:bookmarkStart w:id="63" w:name="_Ref226206600"/>
      <w:bookmarkStart w:id="64" w:name="_Toc228622117"/>
      <w:r w:rsidRPr="00EB1D71">
        <w:rPr>
          <w:rFonts w:asciiTheme="minorHAnsi" w:hAnsiTheme="minorHAnsi" w:cstheme="minorHAnsi"/>
        </w:rPr>
        <w:lastRenderedPageBreak/>
        <w:t xml:space="preserve">Table </w:t>
      </w:r>
      <w:r w:rsidR="009A568B" w:rsidRPr="00EB1D71">
        <w:rPr>
          <w:rFonts w:asciiTheme="minorHAnsi" w:hAnsiTheme="minorHAnsi" w:cstheme="minorHAnsi"/>
        </w:rPr>
        <w:fldChar w:fldCharType="begin"/>
      </w:r>
      <w:r w:rsidR="009A568B" w:rsidRPr="00EB1D71">
        <w:rPr>
          <w:rFonts w:asciiTheme="minorHAnsi" w:hAnsiTheme="minorHAnsi" w:cstheme="minorHAnsi"/>
        </w:rPr>
        <w:instrText xml:space="preserve"> SEQ Table \* ARABIC </w:instrText>
      </w:r>
      <w:r w:rsidR="009A568B" w:rsidRPr="00EB1D71">
        <w:rPr>
          <w:rFonts w:asciiTheme="minorHAnsi" w:hAnsiTheme="minorHAnsi" w:cstheme="minorHAnsi"/>
        </w:rPr>
        <w:fldChar w:fldCharType="separate"/>
      </w:r>
      <w:r w:rsidR="00C400DA">
        <w:rPr>
          <w:rFonts w:asciiTheme="minorHAnsi" w:hAnsiTheme="minorHAnsi" w:cstheme="minorHAnsi"/>
          <w:noProof/>
        </w:rPr>
        <w:t>11</w:t>
      </w:r>
      <w:r w:rsidR="009A568B" w:rsidRPr="00EB1D71">
        <w:rPr>
          <w:rFonts w:asciiTheme="minorHAnsi" w:hAnsiTheme="minorHAnsi" w:cstheme="minorHAnsi"/>
          <w:noProof/>
        </w:rPr>
        <w:fldChar w:fldCharType="end"/>
      </w:r>
      <w:bookmarkEnd w:id="63"/>
      <w:r w:rsidRPr="00EB1D71">
        <w:rPr>
          <w:rFonts w:asciiTheme="minorHAnsi" w:hAnsiTheme="minorHAnsi" w:cstheme="minorHAnsi"/>
          <w:noProof/>
        </w:rPr>
        <w:t>.</w:t>
      </w:r>
      <w:r w:rsidRPr="00EB1D71">
        <w:rPr>
          <w:rFonts w:asciiTheme="minorHAnsi" w:hAnsiTheme="minorHAnsi" w:cstheme="minorHAnsi"/>
        </w:rPr>
        <w:t xml:space="preserve"> Average scores for the availability of robust UK relevant data criterion; details of scoring system are explained in </w:t>
      </w:r>
      <w:r w:rsidR="00D91682" w:rsidRPr="00EB1D71">
        <w:rPr>
          <w:rFonts w:asciiTheme="minorHAnsi" w:hAnsiTheme="minorHAnsi" w:cstheme="minorHAnsi"/>
        </w:rPr>
        <w:t>‘</w:t>
      </w:r>
      <w:r w:rsidRPr="00EB1D71">
        <w:rPr>
          <w:rFonts w:asciiTheme="minorHAnsi" w:hAnsiTheme="minorHAnsi" w:cstheme="minorHAnsi"/>
        </w:rPr>
        <w:t>Methods - Data availability</w:t>
      </w:r>
      <w:r w:rsidR="00D91682" w:rsidRPr="00EB1D71">
        <w:rPr>
          <w:rFonts w:asciiTheme="minorHAnsi" w:hAnsiTheme="minorHAnsi" w:cstheme="minorHAnsi"/>
        </w:rPr>
        <w:t>’</w:t>
      </w:r>
      <w:r w:rsidRPr="00EB1D71">
        <w:rPr>
          <w:rFonts w:asciiTheme="minorHAnsi" w:hAnsiTheme="minorHAnsi" w:cstheme="minorHAnsi"/>
        </w:rPr>
        <w:t xml:space="preserve">. </w:t>
      </w:r>
      <w:r w:rsidR="00B90CE4" w:rsidRPr="00EB1D71">
        <w:rPr>
          <w:rFonts w:asciiTheme="minorHAnsi" w:hAnsiTheme="minorHAnsi" w:cstheme="minorHAnsi"/>
        </w:rPr>
        <w:t>NA</w:t>
      </w:r>
      <w:r w:rsidR="000E0CAF" w:rsidRPr="00EB1D71">
        <w:rPr>
          <w:rFonts w:asciiTheme="minorHAnsi" w:hAnsiTheme="minorHAnsi" w:cstheme="minorHAnsi"/>
        </w:rPr>
        <w:t xml:space="preserve"> = not applicable. </w:t>
      </w:r>
      <w:r w:rsidRPr="00EB1D71">
        <w:rPr>
          <w:rFonts w:asciiTheme="minorHAnsi" w:hAnsiTheme="minorHAnsi" w:cstheme="minorHAnsi"/>
        </w:rPr>
        <w:t xml:space="preserve">Overall scores </w:t>
      </w:r>
      <w:r w:rsidR="00735BB6" w:rsidRPr="00EB1D71">
        <w:rPr>
          <w:rFonts w:asciiTheme="minorHAnsi" w:hAnsiTheme="minorHAnsi" w:cstheme="minorHAnsi"/>
        </w:rPr>
        <w:t xml:space="preserve">followed by an asterisk </w:t>
      </w:r>
      <w:r w:rsidRPr="00EB1D71">
        <w:rPr>
          <w:rFonts w:asciiTheme="minorHAnsi" w:hAnsiTheme="minorHAnsi" w:cstheme="minorHAnsi"/>
        </w:rPr>
        <w:t>were used in the logical sieve for each indicator.</w:t>
      </w:r>
      <w:bookmarkEnd w:id="64"/>
    </w:p>
    <w:tbl>
      <w:tblPr>
        <w:tblStyle w:val="TableGrid"/>
        <w:tblW w:w="0" w:type="auto"/>
        <w:tblLook w:val="04A0" w:firstRow="1" w:lastRow="0" w:firstColumn="1" w:lastColumn="0" w:noHBand="0" w:noVBand="1"/>
      </w:tblPr>
      <w:tblGrid>
        <w:gridCol w:w="3523"/>
        <w:gridCol w:w="1434"/>
        <w:gridCol w:w="1134"/>
        <w:gridCol w:w="1417"/>
        <w:gridCol w:w="1623"/>
        <w:gridCol w:w="1543"/>
        <w:gridCol w:w="1724"/>
        <w:gridCol w:w="1594"/>
      </w:tblGrid>
      <w:tr w:rsidR="009234EB" w:rsidRPr="00EB1D71" w14:paraId="04F76B62" w14:textId="77777777" w:rsidTr="00840586">
        <w:trPr>
          <w:cnfStyle w:val="100000000000" w:firstRow="1" w:lastRow="0" w:firstColumn="0" w:lastColumn="0" w:oddVBand="0" w:evenVBand="0" w:oddHBand="0"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3523" w:type="dxa"/>
            <w:noWrap/>
            <w:hideMark/>
          </w:tcPr>
          <w:p w14:paraId="5A29652D" w14:textId="77777777" w:rsidR="009234EB" w:rsidRPr="009E3F09" w:rsidRDefault="009234EB" w:rsidP="002A1C7C">
            <w:pPr>
              <w:pStyle w:val="TableHeading-centred-bold"/>
            </w:pPr>
            <w:r w:rsidRPr="002A1C7C">
              <w:rPr>
                <w:b/>
                <w:bCs w:val="0"/>
              </w:rPr>
              <w:t>Indicator</w:t>
            </w:r>
          </w:p>
        </w:tc>
        <w:tc>
          <w:tcPr>
            <w:tcW w:w="1434" w:type="dxa"/>
            <w:hideMark/>
          </w:tcPr>
          <w:p w14:paraId="011B4E36" w14:textId="77777777" w:rsidR="009234EB" w:rsidRPr="002A1C7C"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rPr>
                <w:b/>
                <w:bCs w:val="0"/>
              </w:rPr>
            </w:pPr>
            <w:r w:rsidRPr="009E3F09">
              <w:rPr>
                <w:bCs w:val="0"/>
              </w:rPr>
              <w:t>Number of datasets identified</w:t>
            </w:r>
          </w:p>
        </w:tc>
        <w:tc>
          <w:tcPr>
            <w:tcW w:w="1134" w:type="dxa"/>
            <w:hideMark/>
          </w:tcPr>
          <w:p w14:paraId="0F941F73" w14:textId="58A7A166" w:rsidR="009234EB" w:rsidRPr="002A1C7C"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rPr>
                <w:b/>
                <w:bCs w:val="0"/>
              </w:rPr>
            </w:pPr>
            <w:r w:rsidRPr="009E3F09">
              <w:rPr>
                <w:bCs w:val="0"/>
              </w:rPr>
              <w:t>Volume of data</w:t>
            </w:r>
          </w:p>
        </w:tc>
        <w:tc>
          <w:tcPr>
            <w:tcW w:w="1417" w:type="dxa"/>
            <w:hideMark/>
          </w:tcPr>
          <w:p w14:paraId="40872A3D" w14:textId="31E7A1D8" w:rsidR="009234EB" w:rsidRPr="002A1C7C"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rPr>
                <w:b/>
                <w:bCs w:val="0"/>
              </w:rPr>
            </w:pPr>
            <w:r w:rsidRPr="009E3F09">
              <w:rPr>
                <w:bCs w:val="0"/>
              </w:rPr>
              <w:t>Geographic relevance</w:t>
            </w:r>
          </w:p>
        </w:tc>
        <w:tc>
          <w:tcPr>
            <w:tcW w:w="1623" w:type="dxa"/>
            <w:hideMark/>
          </w:tcPr>
          <w:p w14:paraId="1C6C32A1" w14:textId="77777777" w:rsidR="009234EB" w:rsidRPr="002A1C7C"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rPr>
                <w:b/>
                <w:bCs w:val="0"/>
              </w:rPr>
            </w:pPr>
            <w:r w:rsidRPr="009E3F09">
              <w:rPr>
                <w:bCs w:val="0"/>
              </w:rPr>
              <w:t>Relationship to soil health indicator</w:t>
            </w:r>
          </w:p>
        </w:tc>
        <w:tc>
          <w:tcPr>
            <w:tcW w:w="1543" w:type="dxa"/>
            <w:hideMark/>
          </w:tcPr>
          <w:p w14:paraId="7DDEF8CA" w14:textId="1E38A281" w:rsidR="009234EB" w:rsidRPr="002A1C7C"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rPr>
                <w:b/>
                <w:bCs w:val="0"/>
              </w:rPr>
            </w:pPr>
            <w:r w:rsidRPr="009E3F09">
              <w:rPr>
                <w:bCs w:val="0"/>
              </w:rPr>
              <w:t>Robustness of data</w:t>
            </w:r>
          </w:p>
        </w:tc>
        <w:tc>
          <w:tcPr>
            <w:tcW w:w="1724" w:type="dxa"/>
            <w:hideMark/>
          </w:tcPr>
          <w:p w14:paraId="6DFB6753" w14:textId="7DBEE9D4" w:rsidR="009234EB" w:rsidRPr="002A1C7C"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rPr>
                <w:b/>
                <w:bCs w:val="0"/>
              </w:rPr>
            </w:pPr>
            <w:r w:rsidRPr="009E3F09">
              <w:rPr>
                <w:bCs w:val="0"/>
              </w:rPr>
              <w:t>Industry data supply</w:t>
            </w:r>
          </w:p>
        </w:tc>
        <w:tc>
          <w:tcPr>
            <w:tcW w:w="1594" w:type="dxa"/>
            <w:hideMark/>
          </w:tcPr>
          <w:p w14:paraId="60B7C46D" w14:textId="201D6859" w:rsidR="009234EB" w:rsidRPr="002A1C7C" w:rsidRDefault="009234EB" w:rsidP="002A1C7C">
            <w:pPr>
              <w:pStyle w:val="TableHeading-centred-bold"/>
              <w:jc w:val="center"/>
              <w:cnfStyle w:val="100000000000" w:firstRow="1" w:lastRow="0" w:firstColumn="0" w:lastColumn="0" w:oddVBand="0" w:evenVBand="0" w:oddHBand="0" w:evenHBand="0" w:firstRowFirstColumn="0" w:firstRowLastColumn="0" w:lastRowFirstColumn="0" w:lastRowLastColumn="0"/>
              <w:rPr>
                <w:b/>
                <w:bCs w:val="0"/>
              </w:rPr>
            </w:pPr>
            <w:r w:rsidRPr="009E3F09">
              <w:rPr>
                <w:bCs w:val="0"/>
              </w:rPr>
              <w:t>Overall score (average of each data criteria)</w:t>
            </w:r>
          </w:p>
        </w:tc>
      </w:tr>
      <w:tr w:rsidR="009234EB" w:rsidRPr="00EB1D71" w14:paraId="20C70CC2"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3523" w:type="dxa"/>
            <w:noWrap/>
            <w:hideMark/>
          </w:tcPr>
          <w:p w14:paraId="22DF43A7" w14:textId="77777777" w:rsidR="009234EB" w:rsidRPr="002A1C7C" w:rsidRDefault="009234EB" w:rsidP="002A1C7C">
            <w:pPr>
              <w:pStyle w:val="Table-Body-leftaligned"/>
              <w:rPr>
                <w:b w:val="0"/>
              </w:rPr>
            </w:pPr>
            <w:r w:rsidRPr="00584811">
              <w:t>Potentially mineralisable N</w:t>
            </w:r>
          </w:p>
        </w:tc>
        <w:tc>
          <w:tcPr>
            <w:tcW w:w="1434" w:type="dxa"/>
            <w:noWrap/>
            <w:hideMark/>
          </w:tcPr>
          <w:p w14:paraId="6A332838"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4</w:t>
            </w:r>
          </w:p>
        </w:tc>
        <w:tc>
          <w:tcPr>
            <w:tcW w:w="1134" w:type="dxa"/>
            <w:noWrap/>
            <w:hideMark/>
          </w:tcPr>
          <w:p w14:paraId="479AE248"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417" w:type="dxa"/>
            <w:noWrap/>
            <w:hideMark/>
          </w:tcPr>
          <w:p w14:paraId="1BE7BA40"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623" w:type="dxa"/>
            <w:noWrap/>
            <w:hideMark/>
          </w:tcPr>
          <w:p w14:paraId="23E0F7C7"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w:t>
            </w:r>
          </w:p>
        </w:tc>
        <w:tc>
          <w:tcPr>
            <w:tcW w:w="1543" w:type="dxa"/>
            <w:noWrap/>
            <w:hideMark/>
          </w:tcPr>
          <w:p w14:paraId="088E4E8F"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724" w:type="dxa"/>
            <w:noWrap/>
            <w:hideMark/>
          </w:tcPr>
          <w:p w14:paraId="56687F71"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w:t>
            </w:r>
          </w:p>
        </w:tc>
        <w:tc>
          <w:tcPr>
            <w:tcW w:w="1594" w:type="dxa"/>
            <w:noWrap/>
            <w:hideMark/>
          </w:tcPr>
          <w:p w14:paraId="01EDF470" w14:textId="73F055D1"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1.4</w:t>
            </w:r>
            <w:r w:rsidR="00735BB6" w:rsidRPr="003B3662">
              <w:rPr>
                <w:bCs/>
              </w:rPr>
              <w:t>*</w:t>
            </w:r>
          </w:p>
        </w:tc>
      </w:tr>
      <w:tr w:rsidR="009234EB" w:rsidRPr="00EB1D71" w14:paraId="022C7973"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3523" w:type="dxa"/>
            <w:noWrap/>
            <w:hideMark/>
          </w:tcPr>
          <w:p w14:paraId="0F413E6E" w14:textId="77777777" w:rsidR="009234EB" w:rsidRPr="002A1C7C" w:rsidRDefault="009234EB" w:rsidP="002A1C7C">
            <w:pPr>
              <w:pStyle w:val="Table-Body-leftaligned"/>
              <w:rPr>
                <w:b w:val="0"/>
              </w:rPr>
            </w:pPr>
            <w:r w:rsidRPr="00584811">
              <w:t>Active C (Potassium permanganate)</w:t>
            </w:r>
          </w:p>
        </w:tc>
        <w:tc>
          <w:tcPr>
            <w:tcW w:w="1434" w:type="dxa"/>
            <w:noWrap/>
            <w:hideMark/>
          </w:tcPr>
          <w:p w14:paraId="5504C52C"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9</w:t>
            </w:r>
          </w:p>
        </w:tc>
        <w:tc>
          <w:tcPr>
            <w:tcW w:w="1134" w:type="dxa"/>
            <w:noWrap/>
            <w:hideMark/>
          </w:tcPr>
          <w:p w14:paraId="330D0034"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w:t>
            </w:r>
          </w:p>
        </w:tc>
        <w:tc>
          <w:tcPr>
            <w:tcW w:w="1417" w:type="dxa"/>
            <w:noWrap/>
            <w:hideMark/>
          </w:tcPr>
          <w:p w14:paraId="14CD8EDB"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623" w:type="dxa"/>
            <w:noWrap/>
            <w:hideMark/>
          </w:tcPr>
          <w:p w14:paraId="2CEE115F"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543" w:type="dxa"/>
            <w:noWrap/>
            <w:hideMark/>
          </w:tcPr>
          <w:p w14:paraId="441D2AA0"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724" w:type="dxa"/>
            <w:noWrap/>
            <w:hideMark/>
          </w:tcPr>
          <w:p w14:paraId="2DF9100C"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594" w:type="dxa"/>
            <w:noWrap/>
            <w:hideMark/>
          </w:tcPr>
          <w:p w14:paraId="46E9609E"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1.2</w:t>
            </w:r>
          </w:p>
        </w:tc>
      </w:tr>
      <w:tr w:rsidR="009234EB" w:rsidRPr="00EB1D71" w14:paraId="2C124806"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3523" w:type="dxa"/>
            <w:noWrap/>
            <w:hideMark/>
          </w:tcPr>
          <w:p w14:paraId="7F3BE167" w14:textId="77777777" w:rsidR="009234EB" w:rsidRPr="002A1C7C" w:rsidRDefault="009234EB" w:rsidP="002A1C7C">
            <w:pPr>
              <w:pStyle w:val="Table-Body-leftaligned"/>
              <w:rPr>
                <w:b w:val="0"/>
              </w:rPr>
            </w:pPr>
            <w:r w:rsidRPr="00584811">
              <w:t>Active C - other</w:t>
            </w:r>
          </w:p>
        </w:tc>
        <w:tc>
          <w:tcPr>
            <w:tcW w:w="1434" w:type="dxa"/>
            <w:noWrap/>
            <w:hideMark/>
          </w:tcPr>
          <w:p w14:paraId="37432834"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6</w:t>
            </w:r>
          </w:p>
        </w:tc>
        <w:tc>
          <w:tcPr>
            <w:tcW w:w="1134" w:type="dxa"/>
            <w:noWrap/>
            <w:hideMark/>
          </w:tcPr>
          <w:p w14:paraId="266A2025"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w:t>
            </w:r>
          </w:p>
        </w:tc>
        <w:tc>
          <w:tcPr>
            <w:tcW w:w="1417" w:type="dxa"/>
            <w:noWrap/>
            <w:hideMark/>
          </w:tcPr>
          <w:p w14:paraId="505FE955"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623" w:type="dxa"/>
            <w:noWrap/>
            <w:hideMark/>
          </w:tcPr>
          <w:p w14:paraId="0A873D12"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543" w:type="dxa"/>
            <w:noWrap/>
            <w:hideMark/>
          </w:tcPr>
          <w:p w14:paraId="013E9131"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724" w:type="dxa"/>
            <w:noWrap/>
            <w:hideMark/>
          </w:tcPr>
          <w:p w14:paraId="5854BA60" w14:textId="112AFE20"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594" w:type="dxa"/>
            <w:noWrap/>
            <w:hideMark/>
          </w:tcPr>
          <w:p w14:paraId="457EC9D8"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1.25</w:t>
            </w:r>
          </w:p>
        </w:tc>
      </w:tr>
      <w:tr w:rsidR="009234EB" w:rsidRPr="00EB1D71" w14:paraId="43D9643C"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3523" w:type="dxa"/>
            <w:noWrap/>
            <w:hideMark/>
          </w:tcPr>
          <w:p w14:paraId="5461DEE0" w14:textId="77777777" w:rsidR="009234EB" w:rsidRPr="002A1C7C" w:rsidRDefault="009234EB" w:rsidP="002A1C7C">
            <w:pPr>
              <w:pStyle w:val="Table-Body-leftaligned"/>
              <w:rPr>
                <w:b w:val="0"/>
              </w:rPr>
            </w:pPr>
            <w:r w:rsidRPr="00584811">
              <w:t>Active C overall</w:t>
            </w:r>
          </w:p>
        </w:tc>
        <w:tc>
          <w:tcPr>
            <w:tcW w:w="1434" w:type="dxa"/>
            <w:noWrap/>
            <w:hideMark/>
          </w:tcPr>
          <w:p w14:paraId="49B02944" w14:textId="5583BFD2"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134" w:type="dxa"/>
            <w:noWrap/>
            <w:hideMark/>
          </w:tcPr>
          <w:p w14:paraId="062BF324" w14:textId="38E2840B"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417" w:type="dxa"/>
            <w:noWrap/>
            <w:hideMark/>
          </w:tcPr>
          <w:p w14:paraId="5F1B72F5" w14:textId="1CB698EC"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623" w:type="dxa"/>
            <w:noWrap/>
            <w:hideMark/>
          </w:tcPr>
          <w:p w14:paraId="3B161AC3" w14:textId="34B5E86F"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543" w:type="dxa"/>
            <w:noWrap/>
            <w:hideMark/>
          </w:tcPr>
          <w:p w14:paraId="5A0D8B0C" w14:textId="03EC55F2"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724" w:type="dxa"/>
            <w:noWrap/>
            <w:hideMark/>
          </w:tcPr>
          <w:p w14:paraId="549C2DE4"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594" w:type="dxa"/>
            <w:noWrap/>
            <w:hideMark/>
          </w:tcPr>
          <w:p w14:paraId="06995834" w14:textId="661936B9"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1.22</w:t>
            </w:r>
            <w:r w:rsidR="00735BB6" w:rsidRPr="003B3662">
              <w:rPr>
                <w:bCs/>
              </w:rPr>
              <w:t>*</w:t>
            </w:r>
          </w:p>
        </w:tc>
      </w:tr>
      <w:tr w:rsidR="009234EB" w:rsidRPr="00EB1D71" w14:paraId="5257A586"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3523" w:type="dxa"/>
            <w:noWrap/>
            <w:hideMark/>
          </w:tcPr>
          <w:p w14:paraId="05E7251F" w14:textId="77777777" w:rsidR="009234EB" w:rsidRPr="002A1C7C" w:rsidRDefault="009234EB" w:rsidP="002A1C7C">
            <w:pPr>
              <w:pStyle w:val="Table-Body-leftaligned"/>
              <w:rPr>
                <w:b w:val="0"/>
              </w:rPr>
            </w:pPr>
            <w:r w:rsidRPr="00584811">
              <w:t xml:space="preserve">Crop root architecture - </w:t>
            </w:r>
            <w:proofErr w:type="spellStart"/>
            <w:r w:rsidRPr="00584811">
              <w:t>Shovelomics</w:t>
            </w:r>
            <w:proofErr w:type="spellEnd"/>
          </w:p>
        </w:tc>
        <w:tc>
          <w:tcPr>
            <w:tcW w:w="1434" w:type="dxa"/>
            <w:noWrap/>
            <w:hideMark/>
          </w:tcPr>
          <w:p w14:paraId="0F87C924"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w:t>
            </w:r>
          </w:p>
        </w:tc>
        <w:tc>
          <w:tcPr>
            <w:tcW w:w="1134" w:type="dxa"/>
            <w:noWrap/>
            <w:hideMark/>
          </w:tcPr>
          <w:p w14:paraId="673C2A5D"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w:t>
            </w:r>
          </w:p>
        </w:tc>
        <w:tc>
          <w:tcPr>
            <w:tcW w:w="1417" w:type="dxa"/>
            <w:noWrap/>
            <w:hideMark/>
          </w:tcPr>
          <w:p w14:paraId="0A322C26" w14:textId="5744E912"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623" w:type="dxa"/>
            <w:noWrap/>
            <w:hideMark/>
          </w:tcPr>
          <w:p w14:paraId="41D452AB"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543" w:type="dxa"/>
            <w:noWrap/>
            <w:hideMark/>
          </w:tcPr>
          <w:p w14:paraId="0974520D" w14:textId="28E08387"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724" w:type="dxa"/>
            <w:noWrap/>
            <w:hideMark/>
          </w:tcPr>
          <w:p w14:paraId="4E7C6DBA" w14:textId="327A7C5A"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594" w:type="dxa"/>
            <w:noWrap/>
            <w:hideMark/>
          </w:tcPr>
          <w:p w14:paraId="168A4A78"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w:t>
            </w:r>
          </w:p>
        </w:tc>
      </w:tr>
      <w:tr w:rsidR="009234EB" w:rsidRPr="00EB1D71" w14:paraId="681EE4AF"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3523" w:type="dxa"/>
            <w:noWrap/>
            <w:hideMark/>
          </w:tcPr>
          <w:p w14:paraId="0775EDE9" w14:textId="77777777" w:rsidR="009234EB" w:rsidRPr="002A1C7C" w:rsidRDefault="009234EB" w:rsidP="002A1C7C">
            <w:pPr>
              <w:pStyle w:val="Table-Body-leftaligned"/>
              <w:rPr>
                <w:b w:val="0"/>
              </w:rPr>
            </w:pPr>
            <w:r w:rsidRPr="00584811">
              <w:t>Crop root architecture - other</w:t>
            </w:r>
          </w:p>
        </w:tc>
        <w:tc>
          <w:tcPr>
            <w:tcW w:w="1434" w:type="dxa"/>
            <w:noWrap/>
            <w:hideMark/>
          </w:tcPr>
          <w:p w14:paraId="5234AA28"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w:t>
            </w:r>
          </w:p>
        </w:tc>
        <w:tc>
          <w:tcPr>
            <w:tcW w:w="1134" w:type="dxa"/>
            <w:noWrap/>
            <w:hideMark/>
          </w:tcPr>
          <w:p w14:paraId="4970A84F"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w:t>
            </w:r>
          </w:p>
        </w:tc>
        <w:tc>
          <w:tcPr>
            <w:tcW w:w="1417" w:type="dxa"/>
            <w:noWrap/>
            <w:hideMark/>
          </w:tcPr>
          <w:p w14:paraId="01F5A822"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623" w:type="dxa"/>
            <w:noWrap/>
            <w:hideMark/>
          </w:tcPr>
          <w:p w14:paraId="483FD420"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543" w:type="dxa"/>
            <w:noWrap/>
            <w:hideMark/>
          </w:tcPr>
          <w:p w14:paraId="53B9BD2C"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724" w:type="dxa"/>
            <w:noWrap/>
            <w:hideMark/>
          </w:tcPr>
          <w:p w14:paraId="179B20E5" w14:textId="568553C4"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594" w:type="dxa"/>
            <w:noWrap/>
            <w:hideMark/>
          </w:tcPr>
          <w:p w14:paraId="3549B7DA"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0.75</w:t>
            </w:r>
          </w:p>
        </w:tc>
      </w:tr>
      <w:tr w:rsidR="009234EB" w:rsidRPr="00EB1D71" w14:paraId="1D6D6A74"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3523" w:type="dxa"/>
            <w:noWrap/>
            <w:hideMark/>
          </w:tcPr>
          <w:p w14:paraId="0437FA26" w14:textId="77777777" w:rsidR="009234EB" w:rsidRPr="002A1C7C" w:rsidRDefault="009234EB" w:rsidP="002A1C7C">
            <w:pPr>
              <w:pStyle w:val="Table-Body-leftaligned"/>
              <w:rPr>
                <w:b w:val="0"/>
              </w:rPr>
            </w:pPr>
            <w:r w:rsidRPr="00584811">
              <w:t>Crop rooting overall</w:t>
            </w:r>
          </w:p>
        </w:tc>
        <w:tc>
          <w:tcPr>
            <w:tcW w:w="1434" w:type="dxa"/>
            <w:noWrap/>
            <w:hideMark/>
          </w:tcPr>
          <w:p w14:paraId="72843ED8" w14:textId="190C9919"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134" w:type="dxa"/>
            <w:noWrap/>
            <w:hideMark/>
          </w:tcPr>
          <w:p w14:paraId="566BE9C4" w14:textId="4923CEFF"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417" w:type="dxa"/>
            <w:noWrap/>
            <w:hideMark/>
          </w:tcPr>
          <w:p w14:paraId="04F3E371" w14:textId="16A8F097"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623" w:type="dxa"/>
            <w:noWrap/>
            <w:hideMark/>
          </w:tcPr>
          <w:p w14:paraId="1B69145C" w14:textId="78AABE19"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543" w:type="dxa"/>
            <w:noWrap/>
            <w:hideMark/>
          </w:tcPr>
          <w:p w14:paraId="293ECAA4" w14:textId="3C0B5299"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724" w:type="dxa"/>
            <w:noWrap/>
            <w:hideMark/>
          </w:tcPr>
          <w:p w14:paraId="68F0B869" w14:textId="35482A01"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594" w:type="dxa"/>
            <w:noWrap/>
            <w:hideMark/>
          </w:tcPr>
          <w:p w14:paraId="75DF953E" w14:textId="70554486"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0.3</w:t>
            </w:r>
            <w:r w:rsidR="00735BB6" w:rsidRPr="003B3662">
              <w:rPr>
                <w:bCs/>
              </w:rPr>
              <w:t>*</w:t>
            </w:r>
          </w:p>
        </w:tc>
      </w:tr>
      <w:tr w:rsidR="009234EB" w:rsidRPr="00EB1D71" w14:paraId="2A219603"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3523" w:type="dxa"/>
            <w:noWrap/>
            <w:hideMark/>
          </w:tcPr>
          <w:p w14:paraId="0999B298" w14:textId="77777777" w:rsidR="009234EB" w:rsidRPr="002A1C7C" w:rsidRDefault="009234EB" w:rsidP="002A1C7C">
            <w:pPr>
              <w:pStyle w:val="Table-Body-leftaligned"/>
              <w:rPr>
                <w:b w:val="0"/>
              </w:rPr>
            </w:pPr>
            <w:r w:rsidRPr="00584811">
              <w:t>Aggregate stability - WSA</w:t>
            </w:r>
          </w:p>
        </w:tc>
        <w:tc>
          <w:tcPr>
            <w:tcW w:w="1434" w:type="dxa"/>
            <w:noWrap/>
            <w:hideMark/>
          </w:tcPr>
          <w:p w14:paraId="68652B83"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5</w:t>
            </w:r>
          </w:p>
        </w:tc>
        <w:tc>
          <w:tcPr>
            <w:tcW w:w="1134" w:type="dxa"/>
            <w:noWrap/>
            <w:hideMark/>
          </w:tcPr>
          <w:p w14:paraId="0C432692"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417" w:type="dxa"/>
            <w:noWrap/>
            <w:hideMark/>
          </w:tcPr>
          <w:p w14:paraId="072B6AB0"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623" w:type="dxa"/>
            <w:noWrap/>
            <w:hideMark/>
          </w:tcPr>
          <w:p w14:paraId="27A88588"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543" w:type="dxa"/>
            <w:noWrap/>
            <w:hideMark/>
          </w:tcPr>
          <w:p w14:paraId="0717709A"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724" w:type="dxa"/>
            <w:noWrap/>
            <w:hideMark/>
          </w:tcPr>
          <w:p w14:paraId="29476E48" w14:textId="5F5D89D8"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594" w:type="dxa"/>
            <w:noWrap/>
            <w:hideMark/>
          </w:tcPr>
          <w:p w14:paraId="345E8BAF"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r>
      <w:tr w:rsidR="009234EB" w:rsidRPr="00EB1D71" w14:paraId="1CB61955"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3523" w:type="dxa"/>
            <w:noWrap/>
            <w:hideMark/>
          </w:tcPr>
          <w:p w14:paraId="6584B7F8" w14:textId="77777777" w:rsidR="009234EB" w:rsidRPr="002A1C7C" w:rsidRDefault="009234EB" w:rsidP="002A1C7C">
            <w:pPr>
              <w:pStyle w:val="Table-Body-leftaligned"/>
              <w:rPr>
                <w:b w:val="0"/>
              </w:rPr>
            </w:pPr>
            <w:r w:rsidRPr="00584811">
              <w:t>Aggregate stability - Slake test</w:t>
            </w:r>
          </w:p>
        </w:tc>
        <w:tc>
          <w:tcPr>
            <w:tcW w:w="1434" w:type="dxa"/>
            <w:noWrap/>
            <w:hideMark/>
          </w:tcPr>
          <w:p w14:paraId="2F929EDB"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w:t>
            </w:r>
          </w:p>
        </w:tc>
        <w:tc>
          <w:tcPr>
            <w:tcW w:w="1134" w:type="dxa"/>
            <w:noWrap/>
            <w:hideMark/>
          </w:tcPr>
          <w:p w14:paraId="26E4F168"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417" w:type="dxa"/>
            <w:noWrap/>
            <w:hideMark/>
          </w:tcPr>
          <w:p w14:paraId="380DDEF3"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623" w:type="dxa"/>
            <w:noWrap/>
            <w:hideMark/>
          </w:tcPr>
          <w:p w14:paraId="072EE4A7"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543" w:type="dxa"/>
            <w:noWrap/>
            <w:hideMark/>
          </w:tcPr>
          <w:p w14:paraId="2D067C03"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w:t>
            </w:r>
          </w:p>
        </w:tc>
        <w:tc>
          <w:tcPr>
            <w:tcW w:w="1724" w:type="dxa"/>
            <w:noWrap/>
            <w:hideMark/>
          </w:tcPr>
          <w:p w14:paraId="6CD05268" w14:textId="299D6421"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594" w:type="dxa"/>
            <w:noWrap/>
            <w:hideMark/>
          </w:tcPr>
          <w:p w14:paraId="0EF65F63"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0.75</w:t>
            </w:r>
          </w:p>
        </w:tc>
      </w:tr>
      <w:tr w:rsidR="009234EB" w:rsidRPr="00EB1D71" w14:paraId="56F44B83"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3523" w:type="dxa"/>
            <w:noWrap/>
            <w:hideMark/>
          </w:tcPr>
          <w:p w14:paraId="10F6867B" w14:textId="77777777" w:rsidR="009234EB" w:rsidRPr="002A1C7C" w:rsidRDefault="009234EB" w:rsidP="002A1C7C">
            <w:pPr>
              <w:pStyle w:val="Table-Body-leftaligned"/>
              <w:rPr>
                <w:b w:val="0"/>
              </w:rPr>
            </w:pPr>
            <w:r w:rsidRPr="00584811">
              <w:t>Aggregate stability - other</w:t>
            </w:r>
          </w:p>
        </w:tc>
        <w:tc>
          <w:tcPr>
            <w:tcW w:w="1434" w:type="dxa"/>
            <w:noWrap/>
            <w:hideMark/>
          </w:tcPr>
          <w:p w14:paraId="5C91E3CA"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13</w:t>
            </w:r>
          </w:p>
        </w:tc>
        <w:tc>
          <w:tcPr>
            <w:tcW w:w="1134" w:type="dxa"/>
            <w:noWrap/>
            <w:hideMark/>
          </w:tcPr>
          <w:p w14:paraId="63DCA4AE"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w:t>
            </w:r>
          </w:p>
        </w:tc>
        <w:tc>
          <w:tcPr>
            <w:tcW w:w="1417" w:type="dxa"/>
            <w:noWrap/>
            <w:hideMark/>
          </w:tcPr>
          <w:p w14:paraId="22A6A16C"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623" w:type="dxa"/>
            <w:noWrap/>
            <w:hideMark/>
          </w:tcPr>
          <w:p w14:paraId="6D8B6986"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543" w:type="dxa"/>
            <w:noWrap/>
            <w:hideMark/>
          </w:tcPr>
          <w:p w14:paraId="185C29DA"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724" w:type="dxa"/>
            <w:noWrap/>
            <w:hideMark/>
          </w:tcPr>
          <w:p w14:paraId="22BE4087" w14:textId="35B786CF"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594" w:type="dxa"/>
            <w:noWrap/>
            <w:hideMark/>
          </w:tcPr>
          <w:p w14:paraId="77BE3496" w14:textId="77777777"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1.25</w:t>
            </w:r>
          </w:p>
        </w:tc>
      </w:tr>
      <w:tr w:rsidR="009234EB" w:rsidRPr="00EB1D71" w14:paraId="34CEBC9A"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3523" w:type="dxa"/>
            <w:noWrap/>
            <w:hideMark/>
          </w:tcPr>
          <w:p w14:paraId="7501C584" w14:textId="77777777" w:rsidR="009234EB" w:rsidRPr="002A1C7C" w:rsidRDefault="009234EB" w:rsidP="002A1C7C">
            <w:pPr>
              <w:pStyle w:val="Table-Body-leftaligned"/>
              <w:rPr>
                <w:b w:val="0"/>
              </w:rPr>
            </w:pPr>
            <w:r w:rsidRPr="00584811">
              <w:t>Aggregate stability overall</w:t>
            </w:r>
          </w:p>
        </w:tc>
        <w:tc>
          <w:tcPr>
            <w:tcW w:w="1434" w:type="dxa"/>
            <w:noWrap/>
            <w:hideMark/>
          </w:tcPr>
          <w:p w14:paraId="60034C7E" w14:textId="0F314D93"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134" w:type="dxa"/>
            <w:noWrap/>
            <w:hideMark/>
          </w:tcPr>
          <w:p w14:paraId="799A5B35" w14:textId="54009BD1"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417" w:type="dxa"/>
            <w:noWrap/>
            <w:hideMark/>
          </w:tcPr>
          <w:p w14:paraId="31A9ED80" w14:textId="3773FC87"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623" w:type="dxa"/>
            <w:noWrap/>
            <w:hideMark/>
          </w:tcPr>
          <w:p w14:paraId="5F091B0B" w14:textId="78DB0725"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543" w:type="dxa"/>
            <w:noWrap/>
            <w:hideMark/>
          </w:tcPr>
          <w:p w14:paraId="7B5F6323" w14:textId="238CD07E"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724" w:type="dxa"/>
            <w:noWrap/>
            <w:hideMark/>
          </w:tcPr>
          <w:p w14:paraId="156B365F" w14:textId="0B7F6FF4" w:rsidR="009234EB" w:rsidRPr="003B3662" w:rsidRDefault="00735BB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B22117">
              <w:rPr>
                <w:bCs/>
              </w:rPr>
              <w:t>/</w:t>
            </w:r>
            <w:r w:rsidRPr="003B3662">
              <w:rPr>
                <w:bCs/>
              </w:rPr>
              <w:t>A</w:t>
            </w:r>
          </w:p>
        </w:tc>
        <w:tc>
          <w:tcPr>
            <w:tcW w:w="1594" w:type="dxa"/>
            <w:noWrap/>
            <w:hideMark/>
          </w:tcPr>
          <w:p w14:paraId="4D118957" w14:textId="1232C969" w:rsidR="009234EB" w:rsidRPr="003B3662" w:rsidRDefault="009234EB"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r w:rsidR="00735BB6" w:rsidRPr="003B3662">
              <w:rPr>
                <w:bCs/>
              </w:rPr>
              <w:t>*</w:t>
            </w:r>
          </w:p>
        </w:tc>
      </w:tr>
    </w:tbl>
    <w:p w14:paraId="3D8FB921" w14:textId="21BFF8FB" w:rsidR="009234EB" w:rsidRPr="00EB1D71" w:rsidRDefault="00B22117">
      <w:pPr>
        <w:spacing w:line="278" w:lineRule="auto"/>
        <w:rPr>
          <w:rFonts w:asciiTheme="minorHAnsi" w:hAnsiTheme="minorHAnsi" w:cstheme="minorHAnsi"/>
        </w:rPr>
      </w:pPr>
      <w:r>
        <w:rPr>
          <w:rFonts w:asciiTheme="minorHAnsi" w:hAnsiTheme="minorHAnsi" w:cstheme="minorHAnsi"/>
        </w:rPr>
        <w:t>N/A = Not applicable</w:t>
      </w:r>
    </w:p>
    <w:p w14:paraId="0E1752BB" w14:textId="77777777" w:rsidR="009234EB" w:rsidRPr="00EB1D71" w:rsidRDefault="009234EB">
      <w:pPr>
        <w:spacing w:line="278" w:lineRule="auto"/>
        <w:rPr>
          <w:rFonts w:asciiTheme="minorHAnsi" w:hAnsiTheme="minorHAnsi" w:cstheme="minorHAnsi"/>
        </w:rPr>
      </w:pPr>
    </w:p>
    <w:p w14:paraId="63C36FAF" w14:textId="77777777" w:rsidR="009234EB" w:rsidRPr="00EB1D71" w:rsidRDefault="009234EB">
      <w:pPr>
        <w:spacing w:line="278" w:lineRule="auto"/>
        <w:rPr>
          <w:rFonts w:asciiTheme="minorHAnsi" w:hAnsiTheme="minorHAnsi" w:cstheme="minorHAnsi"/>
        </w:rPr>
        <w:sectPr w:rsidR="009234EB" w:rsidRPr="00EB1D71" w:rsidSect="009234EB">
          <w:pgSz w:w="16838" w:h="11906" w:orient="landscape"/>
          <w:pgMar w:top="1418" w:right="1418" w:bottom="1418" w:left="1418" w:header="709" w:footer="454" w:gutter="0"/>
          <w:cols w:space="708"/>
          <w:docGrid w:linePitch="360"/>
        </w:sectPr>
      </w:pPr>
    </w:p>
    <w:p w14:paraId="669D8409" w14:textId="77777777" w:rsidR="00840586" w:rsidRPr="00DB54D6" w:rsidRDefault="00840586" w:rsidP="00840586">
      <w:pPr>
        <w:pStyle w:val="Heading4"/>
        <w:rPr>
          <w:rFonts w:asciiTheme="minorHAnsi" w:hAnsiTheme="minorHAnsi" w:cstheme="minorHAnsi"/>
          <w:color w:val="006197" w:themeColor="text1" w:themeShade="BF"/>
        </w:rPr>
      </w:pPr>
      <w:bookmarkStart w:id="65" w:name="_Toc228622089"/>
      <w:r w:rsidRPr="00DB54D6">
        <w:rPr>
          <w:rFonts w:asciiTheme="minorHAnsi" w:hAnsiTheme="minorHAnsi" w:cstheme="minorHAnsi"/>
          <w:color w:val="006197" w:themeColor="text1" w:themeShade="BF"/>
        </w:rPr>
        <w:lastRenderedPageBreak/>
        <w:t>Usefulness to farmers</w:t>
      </w:r>
      <w:bookmarkEnd w:id="65"/>
      <w:r w:rsidRPr="00DB54D6">
        <w:rPr>
          <w:rFonts w:asciiTheme="minorHAnsi" w:hAnsiTheme="minorHAnsi" w:cstheme="minorHAnsi"/>
          <w:color w:val="006197" w:themeColor="text1" w:themeShade="BF"/>
        </w:rPr>
        <w:tab/>
      </w:r>
    </w:p>
    <w:p w14:paraId="43DF296E" w14:textId="2BE280C2" w:rsidR="00840586" w:rsidRPr="00EB1D71" w:rsidRDefault="00840586" w:rsidP="00B61993">
      <w:pPr>
        <w:rPr>
          <w:rFonts w:asciiTheme="minorHAnsi" w:hAnsiTheme="minorHAnsi" w:cstheme="minorHAnsi"/>
        </w:rPr>
      </w:pPr>
      <w:r w:rsidRPr="00EB1D71">
        <w:rPr>
          <w:rFonts w:asciiTheme="minorHAnsi" w:hAnsiTheme="minorHAnsi" w:cstheme="minorHAnsi"/>
        </w:rPr>
        <w:t>The workshop participants reported a lack of knowledge to interpret results as a key drawback to the selection of any soil health indicators from our shortlist; this was documented in the synthesis of comments from the breakout sessions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_Ref226118691 \h </w:instrText>
      </w:r>
      <w:r w:rsidR="00E522A8"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17</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A vocal few workshop participants discussed their distrust for mainstream analytical laboratories, indicating that the farmer utility category was an important area of contention between advisory bodies and land managers and advisors. The results, from particularly workshop 1, reflected a real lack of enthusiasm from workshop participants towards the methods which required laboratory analysis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_Ref224309798 \h </w:instrText>
      </w:r>
      <w:r w:rsidR="00E522A8"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12</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The two field measures, aggregate stability and crop root architecture, had the highest scores from both workshops and overall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_Ref224309798 \h </w:instrText>
      </w:r>
      <w:r w:rsidR="00E522A8"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12</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xml:space="preserve">). Participants in workshop 2 had a slightly more positive view of PMN, but it still scored lower than the field measures overall. It was not possible to assess wet sieving through the farmer workshops because participants were not familiar with this method, and understood aggregate stability only as the slake test. </w:t>
      </w:r>
    </w:p>
    <w:p w14:paraId="7454C077" w14:textId="73F406BA" w:rsidR="00840586" w:rsidRPr="00EB1D71" w:rsidRDefault="00840586" w:rsidP="00840586">
      <w:pPr>
        <w:pStyle w:val="Caption"/>
        <w:spacing w:after="0"/>
        <w:rPr>
          <w:rFonts w:asciiTheme="minorHAnsi" w:hAnsiTheme="minorHAnsi" w:cstheme="minorHAnsi"/>
        </w:rPr>
      </w:pPr>
      <w:bookmarkStart w:id="66" w:name="_Ref224309798"/>
      <w:bookmarkStart w:id="67" w:name="_Toc228622118"/>
      <w:r w:rsidRPr="00EB1D71">
        <w:rPr>
          <w:rFonts w:asciiTheme="minorHAnsi" w:hAnsiTheme="minorHAnsi" w:cstheme="minorHAnsi"/>
        </w:rPr>
        <w:t xml:space="preserve">Table </w:t>
      </w:r>
      <w:r w:rsidR="009A568B" w:rsidRPr="00EB1D71">
        <w:rPr>
          <w:rFonts w:asciiTheme="minorHAnsi" w:hAnsiTheme="minorHAnsi" w:cstheme="minorHAnsi"/>
        </w:rPr>
        <w:fldChar w:fldCharType="begin"/>
      </w:r>
      <w:r w:rsidR="009A568B" w:rsidRPr="00EB1D71">
        <w:rPr>
          <w:rFonts w:asciiTheme="minorHAnsi" w:hAnsiTheme="minorHAnsi" w:cstheme="minorHAnsi"/>
        </w:rPr>
        <w:instrText xml:space="preserve"> SEQ Table \* ARABIC </w:instrText>
      </w:r>
      <w:r w:rsidR="009A568B" w:rsidRPr="00EB1D71">
        <w:rPr>
          <w:rFonts w:asciiTheme="minorHAnsi" w:hAnsiTheme="minorHAnsi" w:cstheme="minorHAnsi"/>
        </w:rPr>
        <w:fldChar w:fldCharType="separate"/>
      </w:r>
      <w:r w:rsidR="00C400DA">
        <w:rPr>
          <w:rFonts w:asciiTheme="minorHAnsi" w:hAnsiTheme="minorHAnsi" w:cstheme="minorHAnsi"/>
          <w:noProof/>
        </w:rPr>
        <w:t>12</w:t>
      </w:r>
      <w:r w:rsidR="009A568B" w:rsidRPr="00EB1D71">
        <w:rPr>
          <w:rFonts w:asciiTheme="minorHAnsi" w:hAnsiTheme="minorHAnsi" w:cstheme="minorHAnsi"/>
          <w:noProof/>
        </w:rPr>
        <w:fldChar w:fldCharType="end"/>
      </w:r>
      <w:bookmarkEnd w:id="66"/>
      <w:r w:rsidRPr="00EB1D71">
        <w:rPr>
          <w:rFonts w:asciiTheme="minorHAnsi" w:hAnsiTheme="minorHAnsi" w:cstheme="minorHAnsi"/>
        </w:rPr>
        <w:t>. Farmer utility results from each of the two stakeholder workshops.</w:t>
      </w:r>
      <w:bookmarkEnd w:id="67"/>
    </w:p>
    <w:tbl>
      <w:tblPr>
        <w:tblStyle w:val="TableGrid"/>
        <w:tblW w:w="5000" w:type="pct"/>
        <w:tblLook w:val="04A0" w:firstRow="1" w:lastRow="0" w:firstColumn="1" w:lastColumn="0" w:noHBand="0" w:noVBand="1"/>
      </w:tblPr>
      <w:tblGrid>
        <w:gridCol w:w="2207"/>
        <w:gridCol w:w="2031"/>
        <w:gridCol w:w="1562"/>
        <w:gridCol w:w="1969"/>
        <w:gridCol w:w="1859"/>
      </w:tblGrid>
      <w:tr w:rsidR="00840586" w:rsidRPr="00EB1D71" w14:paraId="604AF856" w14:textId="77777777" w:rsidTr="0084058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58" w:type="pct"/>
            <w:noWrap/>
            <w:hideMark/>
          </w:tcPr>
          <w:p w14:paraId="7268956E" w14:textId="77777777" w:rsidR="00840586" w:rsidRPr="00B22117" w:rsidRDefault="00840586" w:rsidP="002A1C7C">
            <w:pPr>
              <w:pStyle w:val="TableHeading-centred-bold"/>
            </w:pPr>
            <w:r w:rsidRPr="002A1C7C">
              <w:rPr>
                <w:b/>
              </w:rPr>
              <w:t>Indicator</w:t>
            </w:r>
          </w:p>
        </w:tc>
        <w:tc>
          <w:tcPr>
            <w:tcW w:w="1127" w:type="pct"/>
          </w:tcPr>
          <w:p w14:paraId="31399512" w14:textId="6B8D3610"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Method</w:t>
            </w:r>
          </w:p>
        </w:tc>
        <w:tc>
          <w:tcPr>
            <w:tcW w:w="883" w:type="pct"/>
            <w:hideMark/>
          </w:tcPr>
          <w:p w14:paraId="0918B3FA"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Workshop 1</w:t>
            </w:r>
          </w:p>
        </w:tc>
        <w:tc>
          <w:tcPr>
            <w:tcW w:w="1094" w:type="pct"/>
            <w:hideMark/>
          </w:tcPr>
          <w:p w14:paraId="13BD2888"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Workshop 2</w:t>
            </w:r>
          </w:p>
        </w:tc>
        <w:tc>
          <w:tcPr>
            <w:tcW w:w="1037" w:type="pct"/>
            <w:noWrap/>
            <w:hideMark/>
          </w:tcPr>
          <w:p w14:paraId="5AC8B169"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Average</w:t>
            </w:r>
          </w:p>
        </w:tc>
      </w:tr>
      <w:tr w:rsidR="00840586" w:rsidRPr="00EB1D71" w14:paraId="2E95DEE0"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858" w:type="pct"/>
            <w:noWrap/>
            <w:hideMark/>
          </w:tcPr>
          <w:p w14:paraId="3725EA5D" w14:textId="77777777" w:rsidR="00840586" w:rsidRPr="002A1C7C" w:rsidRDefault="00840586" w:rsidP="002A1C7C">
            <w:pPr>
              <w:pStyle w:val="Table-Body-leftaligned"/>
              <w:rPr>
                <w:b w:val="0"/>
                <w:bCs/>
              </w:rPr>
            </w:pPr>
            <w:r w:rsidRPr="00584811">
              <w:rPr>
                <w:bCs/>
              </w:rPr>
              <w:t>PMN</w:t>
            </w:r>
          </w:p>
        </w:tc>
        <w:tc>
          <w:tcPr>
            <w:tcW w:w="1127" w:type="pct"/>
          </w:tcPr>
          <w:p w14:paraId="449CB392" w14:textId="523237A2"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7-day anaerobic incubation</w:t>
            </w:r>
          </w:p>
        </w:tc>
        <w:tc>
          <w:tcPr>
            <w:tcW w:w="883" w:type="pct"/>
            <w:noWrap/>
            <w:hideMark/>
          </w:tcPr>
          <w:p w14:paraId="4AA1D44F"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0</w:t>
            </w:r>
          </w:p>
        </w:tc>
        <w:tc>
          <w:tcPr>
            <w:tcW w:w="1094" w:type="pct"/>
            <w:noWrap/>
            <w:hideMark/>
          </w:tcPr>
          <w:p w14:paraId="3D5AC699"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1</w:t>
            </w:r>
          </w:p>
        </w:tc>
        <w:tc>
          <w:tcPr>
            <w:tcW w:w="1037" w:type="pct"/>
            <w:noWrap/>
            <w:hideMark/>
          </w:tcPr>
          <w:p w14:paraId="5E81A4A3"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0.5</w:t>
            </w:r>
          </w:p>
        </w:tc>
      </w:tr>
      <w:tr w:rsidR="00840586" w:rsidRPr="00EB1D71" w14:paraId="75D91490"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858" w:type="pct"/>
            <w:noWrap/>
            <w:hideMark/>
          </w:tcPr>
          <w:p w14:paraId="46941329" w14:textId="77777777" w:rsidR="00840586" w:rsidRPr="002A1C7C" w:rsidRDefault="00840586" w:rsidP="002A1C7C">
            <w:pPr>
              <w:pStyle w:val="Table-Body-leftaligned"/>
              <w:rPr>
                <w:b w:val="0"/>
                <w:bCs/>
              </w:rPr>
            </w:pPr>
            <w:r w:rsidRPr="00584811">
              <w:rPr>
                <w:bCs/>
              </w:rPr>
              <w:t xml:space="preserve">Active C </w:t>
            </w:r>
          </w:p>
        </w:tc>
        <w:tc>
          <w:tcPr>
            <w:tcW w:w="1127" w:type="pct"/>
          </w:tcPr>
          <w:p w14:paraId="39AFF94A"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Potassium permanganate extraction</w:t>
            </w:r>
          </w:p>
        </w:tc>
        <w:tc>
          <w:tcPr>
            <w:tcW w:w="883" w:type="pct"/>
            <w:noWrap/>
            <w:hideMark/>
          </w:tcPr>
          <w:p w14:paraId="2EFB6D37"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0</w:t>
            </w:r>
          </w:p>
        </w:tc>
        <w:tc>
          <w:tcPr>
            <w:tcW w:w="1094" w:type="pct"/>
            <w:noWrap/>
            <w:hideMark/>
          </w:tcPr>
          <w:p w14:paraId="7E99AEF1"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0</w:t>
            </w:r>
          </w:p>
        </w:tc>
        <w:tc>
          <w:tcPr>
            <w:tcW w:w="1037" w:type="pct"/>
            <w:noWrap/>
            <w:hideMark/>
          </w:tcPr>
          <w:p w14:paraId="68D95D31"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0</w:t>
            </w:r>
          </w:p>
        </w:tc>
      </w:tr>
      <w:tr w:rsidR="00840586" w:rsidRPr="00EB1D71" w14:paraId="3AE877B4"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858" w:type="pct"/>
            <w:noWrap/>
            <w:hideMark/>
          </w:tcPr>
          <w:p w14:paraId="23F6CA81" w14:textId="77777777" w:rsidR="00840586" w:rsidRPr="002A1C7C" w:rsidRDefault="00840586" w:rsidP="002A1C7C">
            <w:pPr>
              <w:pStyle w:val="Table-Body-leftaligned"/>
              <w:rPr>
                <w:b w:val="0"/>
                <w:bCs/>
              </w:rPr>
            </w:pPr>
            <w:r w:rsidRPr="00584811">
              <w:rPr>
                <w:bCs/>
              </w:rPr>
              <w:t>Crop Root Architecture</w:t>
            </w:r>
          </w:p>
        </w:tc>
        <w:tc>
          <w:tcPr>
            <w:tcW w:w="1127" w:type="pct"/>
          </w:tcPr>
          <w:p w14:paraId="4DC389CF"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proofErr w:type="spellStart"/>
            <w:r w:rsidRPr="00EB1D71">
              <w:t>Shovelomics</w:t>
            </w:r>
            <w:proofErr w:type="spellEnd"/>
          </w:p>
        </w:tc>
        <w:tc>
          <w:tcPr>
            <w:tcW w:w="883" w:type="pct"/>
            <w:noWrap/>
            <w:hideMark/>
          </w:tcPr>
          <w:p w14:paraId="618AA6F5"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2</w:t>
            </w:r>
          </w:p>
        </w:tc>
        <w:tc>
          <w:tcPr>
            <w:tcW w:w="1094" w:type="pct"/>
            <w:noWrap/>
            <w:hideMark/>
          </w:tcPr>
          <w:p w14:paraId="1F340043"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2</w:t>
            </w:r>
          </w:p>
        </w:tc>
        <w:tc>
          <w:tcPr>
            <w:tcW w:w="1037" w:type="pct"/>
            <w:noWrap/>
            <w:hideMark/>
          </w:tcPr>
          <w:p w14:paraId="28FADC77"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2</w:t>
            </w:r>
          </w:p>
        </w:tc>
      </w:tr>
      <w:tr w:rsidR="00840586" w:rsidRPr="00EB1D71" w14:paraId="15479F59" w14:textId="77777777" w:rsidTr="00840586">
        <w:trPr>
          <w:trHeight w:val="290"/>
        </w:trPr>
        <w:tc>
          <w:tcPr>
            <w:cnfStyle w:val="001000000000" w:firstRow="0" w:lastRow="0" w:firstColumn="1" w:lastColumn="0" w:oddVBand="0" w:evenVBand="0" w:oddHBand="0" w:evenHBand="0" w:firstRowFirstColumn="0" w:firstRowLastColumn="0" w:lastRowFirstColumn="0" w:lastRowLastColumn="0"/>
            <w:tcW w:w="858" w:type="pct"/>
            <w:noWrap/>
            <w:hideMark/>
          </w:tcPr>
          <w:p w14:paraId="03451042" w14:textId="77777777" w:rsidR="00840586" w:rsidRPr="002A1C7C" w:rsidRDefault="00840586" w:rsidP="002A1C7C">
            <w:pPr>
              <w:pStyle w:val="Table-Body-leftaligned"/>
              <w:rPr>
                <w:b w:val="0"/>
                <w:bCs/>
              </w:rPr>
            </w:pPr>
            <w:r w:rsidRPr="00584811">
              <w:rPr>
                <w:bCs/>
              </w:rPr>
              <w:t>Aggregate Stability</w:t>
            </w:r>
          </w:p>
        </w:tc>
        <w:tc>
          <w:tcPr>
            <w:tcW w:w="1127" w:type="pct"/>
          </w:tcPr>
          <w:p w14:paraId="0B8D5B9E"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Slake test</w:t>
            </w:r>
          </w:p>
        </w:tc>
        <w:tc>
          <w:tcPr>
            <w:tcW w:w="883" w:type="pct"/>
            <w:noWrap/>
            <w:hideMark/>
          </w:tcPr>
          <w:p w14:paraId="49007340"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2</w:t>
            </w:r>
          </w:p>
        </w:tc>
        <w:tc>
          <w:tcPr>
            <w:tcW w:w="1094" w:type="pct"/>
            <w:noWrap/>
            <w:hideMark/>
          </w:tcPr>
          <w:p w14:paraId="31522739"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2</w:t>
            </w:r>
          </w:p>
        </w:tc>
        <w:tc>
          <w:tcPr>
            <w:tcW w:w="1037" w:type="pct"/>
            <w:noWrap/>
            <w:hideMark/>
          </w:tcPr>
          <w:p w14:paraId="37B77D1D" w14:textId="77777777" w:rsidR="00840586" w:rsidRPr="00EB1D71"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EB1D71">
              <w:t>2</w:t>
            </w:r>
          </w:p>
        </w:tc>
      </w:tr>
    </w:tbl>
    <w:p w14:paraId="2D530956" w14:textId="77777777" w:rsidR="00840586" w:rsidRPr="00EB1D71" w:rsidRDefault="00840586" w:rsidP="00840586">
      <w:pPr>
        <w:rPr>
          <w:rFonts w:asciiTheme="minorHAnsi" w:hAnsiTheme="minorHAnsi" w:cstheme="minorHAnsi"/>
        </w:rPr>
      </w:pPr>
      <w:bookmarkStart w:id="68" w:name="_Toc228622090"/>
    </w:p>
    <w:p w14:paraId="1C1D657D" w14:textId="71B0F926" w:rsidR="00840586" w:rsidRPr="00654242" w:rsidRDefault="00840586" w:rsidP="00840586">
      <w:pPr>
        <w:pStyle w:val="Heading4"/>
        <w:rPr>
          <w:rFonts w:asciiTheme="minorHAnsi" w:hAnsiTheme="minorHAnsi" w:cstheme="minorHAnsi"/>
          <w:color w:val="006197" w:themeColor="text1" w:themeShade="BF"/>
        </w:rPr>
      </w:pPr>
      <w:r w:rsidRPr="00654242">
        <w:rPr>
          <w:rFonts w:asciiTheme="minorHAnsi" w:hAnsiTheme="minorHAnsi" w:cstheme="minorHAnsi"/>
          <w:color w:val="006197" w:themeColor="text1" w:themeShade="BF"/>
        </w:rPr>
        <w:t>Spatial variability/Samples required to represent an area</w:t>
      </w:r>
      <w:bookmarkEnd w:id="68"/>
      <w:r w:rsidRPr="00654242">
        <w:rPr>
          <w:rFonts w:asciiTheme="minorHAnsi" w:hAnsiTheme="minorHAnsi" w:cstheme="minorHAnsi"/>
          <w:color w:val="006197" w:themeColor="text1" w:themeShade="BF"/>
        </w:rPr>
        <w:tab/>
      </w:r>
    </w:p>
    <w:p w14:paraId="2ECB2595" w14:textId="132496A4" w:rsidR="00840586" w:rsidRPr="00EB1D71" w:rsidRDefault="00840586" w:rsidP="00B61993">
      <w:pPr>
        <w:rPr>
          <w:rFonts w:asciiTheme="minorHAnsi" w:hAnsiTheme="minorHAnsi" w:cstheme="minorHAnsi"/>
        </w:rPr>
      </w:pPr>
      <w:r w:rsidRPr="00EB1D71">
        <w:rPr>
          <w:rFonts w:asciiTheme="minorHAnsi" w:hAnsiTheme="minorHAnsi" w:cstheme="minorHAnsi"/>
        </w:rPr>
        <w:t>As outlined in the methods, metric 1 was determined through a review of recommended number of samples required to give a representative field area from key UK laboratories, while metric 2 was determined via an expert consultation. The results differed between the two metrics</w:t>
      </w:r>
      <w:r w:rsidR="009C7929" w:rsidRPr="00EB1D71">
        <w:rPr>
          <w:rFonts w:asciiTheme="minorHAnsi" w:hAnsiTheme="minorHAnsi" w:cstheme="minorHAnsi"/>
        </w:rPr>
        <w:t xml:space="preserve"> (</w:t>
      </w:r>
      <w:r w:rsidR="009C7929" w:rsidRPr="00EB1D71">
        <w:rPr>
          <w:rStyle w:val="TableHyperlink"/>
          <w:rFonts w:asciiTheme="minorHAnsi" w:hAnsiTheme="minorHAnsi" w:cstheme="minorHAnsi"/>
        </w:rPr>
        <w:fldChar w:fldCharType="begin"/>
      </w:r>
      <w:r w:rsidR="009C7929" w:rsidRPr="00EB1D71">
        <w:rPr>
          <w:rStyle w:val="TableHyperlink"/>
          <w:rFonts w:asciiTheme="minorHAnsi" w:hAnsiTheme="minorHAnsi" w:cstheme="minorHAnsi"/>
        </w:rPr>
        <w:instrText xml:space="preserve"> REF _Ref229729272 \h  \* MERGEFORMAT </w:instrText>
      </w:r>
      <w:r w:rsidR="009C7929" w:rsidRPr="00EB1D71">
        <w:rPr>
          <w:rStyle w:val="TableHyperlink"/>
          <w:rFonts w:asciiTheme="minorHAnsi" w:hAnsiTheme="minorHAnsi" w:cstheme="minorHAnsi"/>
        </w:rPr>
      </w:r>
      <w:r w:rsidR="009C7929" w:rsidRPr="00EB1D71">
        <w:rPr>
          <w:rStyle w:val="TableHyperlink"/>
          <w:rFonts w:asciiTheme="minorHAnsi" w:hAnsiTheme="minorHAnsi" w:cstheme="minorHAnsi"/>
        </w:rPr>
        <w:fldChar w:fldCharType="separate"/>
      </w:r>
      <w:r w:rsidR="009C7929" w:rsidRPr="00EB1D71">
        <w:rPr>
          <w:rStyle w:val="TableHyperlink"/>
          <w:rFonts w:asciiTheme="minorHAnsi" w:hAnsiTheme="minorHAnsi" w:cstheme="minorHAnsi"/>
        </w:rPr>
        <w:t>Table 13</w:t>
      </w:r>
      <w:r w:rsidR="009C7929" w:rsidRPr="00EB1D71">
        <w:rPr>
          <w:rStyle w:val="TableHyperlink"/>
          <w:rFonts w:asciiTheme="minorHAnsi" w:hAnsiTheme="minorHAnsi" w:cstheme="minorHAnsi"/>
        </w:rPr>
        <w:fldChar w:fldCharType="end"/>
      </w:r>
      <w:r w:rsidR="009C7929" w:rsidRPr="00EB1D71">
        <w:rPr>
          <w:rFonts w:asciiTheme="minorHAnsi" w:hAnsiTheme="minorHAnsi" w:cstheme="minorHAnsi"/>
        </w:rPr>
        <w:t>)</w:t>
      </w:r>
      <w:r w:rsidRPr="00EB1D71">
        <w:rPr>
          <w:rFonts w:asciiTheme="minorHAnsi" w:hAnsiTheme="minorHAnsi" w:cstheme="minorHAnsi"/>
        </w:rPr>
        <w:t xml:space="preserve">. Only metric 2 was used for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and aggregate stability testing, due to the lack of commercial availability in UK laboratories. </w:t>
      </w:r>
    </w:p>
    <w:p w14:paraId="001F9CCD" w14:textId="2CE59C42" w:rsidR="00840586" w:rsidRPr="00EB1D71" w:rsidRDefault="00840586" w:rsidP="00840586">
      <w:pPr>
        <w:pStyle w:val="Caption"/>
        <w:keepNext/>
        <w:spacing w:after="0"/>
        <w:rPr>
          <w:rFonts w:asciiTheme="minorHAnsi" w:hAnsiTheme="minorHAnsi" w:cstheme="minorHAnsi"/>
          <w:szCs w:val="22"/>
        </w:rPr>
      </w:pPr>
      <w:bookmarkStart w:id="69" w:name="_Ref229729272"/>
      <w:bookmarkStart w:id="70" w:name="_Toc228622119"/>
      <w:r w:rsidRPr="00EB1D71">
        <w:rPr>
          <w:rFonts w:asciiTheme="minorHAnsi" w:hAnsiTheme="minorHAnsi" w:cstheme="minorHAnsi"/>
          <w:szCs w:val="22"/>
        </w:rPr>
        <w:t xml:space="preserve">Table </w:t>
      </w:r>
      <w:r w:rsidRPr="00EB1D71">
        <w:rPr>
          <w:rFonts w:asciiTheme="minorHAnsi" w:hAnsiTheme="minorHAnsi" w:cstheme="minorHAnsi"/>
          <w:szCs w:val="22"/>
        </w:rPr>
        <w:fldChar w:fldCharType="begin"/>
      </w:r>
      <w:r w:rsidRPr="00EB1D71">
        <w:rPr>
          <w:rFonts w:asciiTheme="minorHAnsi" w:hAnsiTheme="minorHAnsi" w:cstheme="minorHAnsi"/>
          <w:szCs w:val="22"/>
        </w:rPr>
        <w:instrText xml:space="preserve"> SEQ Table \* ARABIC </w:instrText>
      </w:r>
      <w:r w:rsidRPr="00EB1D71">
        <w:rPr>
          <w:rFonts w:asciiTheme="minorHAnsi" w:hAnsiTheme="minorHAnsi" w:cstheme="minorHAnsi"/>
          <w:szCs w:val="22"/>
        </w:rPr>
        <w:fldChar w:fldCharType="separate"/>
      </w:r>
      <w:r w:rsidR="00C400DA">
        <w:rPr>
          <w:rFonts w:asciiTheme="minorHAnsi" w:hAnsiTheme="minorHAnsi" w:cstheme="minorHAnsi"/>
          <w:noProof/>
          <w:szCs w:val="22"/>
        </w:rPr>
        <w:t>13</w:t>
      </w:r>
      <w:r w:rsidRPr="00EB1D71">
        <w:rPr>
          <w:rFonts w:asciiTheme="minorHAnsi" w:hAnsiTheme="minorHAnsi" w:cstheme="minorHAnsi"/>
          <w:szCs w:val="22"/>
        </w:rPr>
        <w:fldChar w:fldCharType="end"/>
      </w:r>
      <w:bookmarkEnd w:id="69"/>
      <w:r w:rsidRPr="00EB1D71">
        <w:rPr>
          <w:rFonts w:asciiTheme="minorHAnsi" w:hAnsiTheme="minorHAnsi" w:cstheme="minorHAnsi"/>
          <w:szCs w:val="22"/>
        </w:rPr>
        <w:t>. Average scores obtained for each indicator and method for spatial variability and sample requirements</w:t>
      </w:r>
      <w:bookmarkEnd w:id="70"/>
    </w:p>
    <w:tbl>
      <w:tblPr>
        <w:tblStyle w:val="TableGrid"/>
        <w:tblW w:w="5000" w:type="pct"/>
        <w:tblLook w:val="04A0" w:firstRow="1" w:lastRow="0" w:firstColumn="1" w:lastColumn="0" w:noHBand="0" w:noVBand="1"/>
      </w:tblPr>
      <w:tblGrid>
        <w:gridCol w:w="2207"/>
        <w:gridCol w:w="3098"/>
        <w:gridCol w:w="1441"/>
        <w:gridCol w:w="1441"/>
        <w:gridCol w:w="1441"/>
      </w:tblGrid>
      <w:tr w:rsidR="00840586" w:rsidRPr="00EB1D71" w14:paraId="066CB9C2" w14:textId="77777777" w:rsidTr="00840586">
        <w:trPr>
          <w:cnfStyle w:val="100000000000" w:firstRow="1" w:lastRow="0" w:firstColumn="0" w:lastColumn="0" w:oddVBand="0" w:evenVBand="0" w:oddHBand="0"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804" w:type="pct"/>
            <w:noWrap/>
            <w:hideMark/>
          </w:tcPr>
          <w:p w14:paraId="57CF0271" w14:textId="77777777" w:rsidR="00840586" w:rsidRPr="00B22117" w:rsidRDefault="00840586" w:rsidP="002A1C7C">
            <w:pPr>
              <w:pStyle w:val="TableHeading-centred-bold"/>
            </w:pPr>
            <w:r w:rsidRPr="002A1C7C">
              <w:rPr>
                <w:b/>
              </w:rPr>
              <w:t>Indicator</w:t>
            </w:r>
          </w:p>
        </w:tc>
        <w:tc>
          <w:tcPr>
            <w:tcW w:w="1049" w:type="pct"/>
            <w:noWrap/>
            <w:hideMark/>
          </w:tcPr>
          <w:p w14:paraId="3B9D9C11"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Method</w:t>
            </w:r>
          </w:p>
        </w:tc>
        <w:tc>
          <w:tcPr>
            <w:tcW w:w="1049" w:type="pct"/>
          </w:tcPr>
          <w:p w14:paraId="2879196F"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Metric 1</w:t>
            </w:r>
          </w:p>
        </w:tc>
        <w:tc>
          <w:tcPr>
            <w:tcW w:w="1049" w:type="pct"/>
          </w:tcPr>
          <w:p w14:paraId="48D18852"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Metric 2</w:t>
            </w:r>
          </w:p>
        </w:tc>
        <w:tc>
          <w:tcPr>
            <w:tcW w:w="1049" w:type="pct"/>
          </w:tcPr>
          <w:p w14:paraId="29679931"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Overall Score</w:t>
            </w:r>
          </w:p>
        </w:tc>
      </w:tr>
      <w:tr w:rsidR="00840586" w:rsidRPr="00EB1D71" w14:paraId="60D3CFCE" w14:textId="77777777" w:rsidTr="00840586">
        <w:trPr>
          <w:trHeight w:val="306"/>
        </w:trPr>
        <w:tc>
          <w:tcPr>
            <w:cnfStyle w:val="001000000000" w:firstRow="0" w:lastRow="0" w:firstColumn="1" w:lastColumn="0" w:oddVBand="0" w:evenVBand="0" w:oddHBand="0" w:evenHBand="0" w:firstRowFirstColumn="0" w:firstRowLastColumn="0" w:lastRowFirstColumn="0" w:lastRowLastColumn="0"/>
            <w:tcW w:w="804" w:type="pct"/>
            <w:noWrap/>
            <w:hideMark/>
          </w:tcPr>
          <w:p w14:paraId="141EE97F" w14:textId="77777777" w:rsidR="00840586" w:rsidRPr="002A1C7C" w:rsidRDefault="00840586" w:rsidP="002A1C7C">
            <w:pPr>
              <w:pStyle w:val="Table-Body-leftaligned"/>
              <w:rPr>
                <w:b w:val="0"/>
              </w:rPr>
            </w:pPr>
            <w:r w:rsidRPr="00584811">
              <w:t>PMN</w:t>
            </w:r>
          </w:p>
        </w:tc>
        <w:tc>
          <w:tcPr>
            <w:tcW w:w="1049" w:type="pct"/>
            <w:noWrap/>
            <w:hideMark/>
          </w:tcPr>
          <w:p w14:paraId="00F07273" w14:textId="19819A6F"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7-day anaerobic incubation</w:t>
            </w:r>
          </w:p>
        </w:tc>
        <w:tc>
          <w:tcPr>
            <w:tcW w:w="1049" w:type="pct"/>
          </w:tcPr>
          <w:p w14:paraId="236359EE"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049" w:type="pct"/>
          </w:tcPr>
          <w:p w14:paraId="357DC320"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w:t>
            </w:r>
          </w:p>
        </w:tc>
        <w:tc>
          <w:tcPr>
            <w:tcW w:w="1049" w:type="pct"/>
          </w:tcPr>
          <w:p w14:paraId="34B3626D"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1.5</w:t>
            </w:r>
          </w:p>
        </w:tc>
      </w:tr>
      <w:tr w:rsidR="00840586" w:rsidRPr="00EB1D71" w14:paraId="79408162" w14:textId="77777777" w:rsidTr="00840586">
        <w:trPr>
          <w:trHeight w:val="306"/>
        </w:trPr>
        <w:tc>
          <w:tcPr>
            <w:cnfStyle w:val="001000000000" w:firstRow="0" w:lastRow="0" w:firstColumn="1" w:lastColumn="0" w:oddVBand="0" w:evenVBand="0" w:oddHBand="0" w:evenHBand="0" w:firstRowFirstColumn="0" w:firstRowLastColumn="0" w:lastRowFirstColumn="0" w:lastRowLastColumn="0"/>
            <w:tcW w:w="804" w:type="pct"/>
            <w:noWrap/>
            <w:hideMark/>
          </w:tcPr>
          <w:p w14:paraId="38D7F45E" w14:textId="77777777" w:rsidR="00840586" w:rsidRPr="002A1C7C" w:rsidRDefault="00840586" w:rsidP="002A1C7C">
            <w:pPr>
              <w:pStyle w:val="Table-Body-leftaligned"/>
              <w:rPr>
                <w:b w:val="0"/>
              </w:rPr>
            </w:pPr>
            <w:r w:rsidRPr="00584811">
              <w:t xml:space="preserve">Active C </w:t>
            </w:r>
          </w:p>
        </w:tc>
        <w:tc>
          <w:tcPr>
            <w:tcW w:w="1049" w:type="pct"/>
            <w:noWrap/>
            <w:hideMark/>
          </w:tcPr>
          <w:p w14:paraId="4FC68E84"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Potassium permanganate extraction</w:t>
            </w:r>
          </w:p>
        </w:tc>
        <w:tc>
          <w:tcPr>
            <w:tcW w:w="1049" w:type="pct"/>
          </w:tcPr>
          <w:p w14:paraId="0F564C07"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w:t>
            </w:r>
          </w:p>
        </w:tc>
        <w:tc>
          <w:tcPr>
            <w:tcW w:w="1049" w:type="pct"/>
          </w:tcPr>
          <w:p w14:paraId="7CAF557F"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w:t>
            </w:r>
          </w:p>
        </w:tc>
        <w:tc>
          <w:tcPr>
            <w:tcW w:w="1049" w:type="pct"/>
          </w:tcPr>
          <w:p w14:paraId="6D6FE8BD"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r>
      <w:tr w:rsidR="00840586" w:rsidRPr="00EB1D71" w14:paraId="693E9D96" w14:textId="77777777" w:rsidTr="00840586">
        <w:trPr>
          <w:trHeight w:val="306"/>
        </w:trPr>
        <w:tc>
          <w:tcPr>
            <w:cnfStyle w:val="001000000000" w:firstRow="0" w:lastRow="0" w:firstColumn="1" w:lastColumn="0" w:oddVBand="0" w:evenVBand="0" w:oddHBand="0" w:evenHBand="0" w:firstRowFirstColumn="0" w:firstRowLastColumn="0" w:lastRowFirstColumn="0" w:lastRowLastColumn="0"/>
            <w:tcW w:w="804" w:type="pct"/>
            <w:noWrap/>
            <w:hideMark/>
          </w:tcPr>
          <w:p w14:paraId="3AB08E01" w14:textId="77777777" w:rsidR="00840586" w:rsidRPr="002A1C7C" w:rsidRDefault="00840586" w:rsidP="002A1C7C">
            <w:pPr>
              <w:pStyle w:val="Table-Body-leftaligned"/>
              <w:rPr>
                <w:b w:val="0"/>
              </w:rPr>
            </w:pPr>
            <w:r w:rsidRPr="00584811">
              <w:t>Crop Root Architecture</w:t>
            </w:r>
          </w:p>
        </w:tc>
        <w:tc>
          <w:tcPr>
            <w:tcW w:w="1049" w:type="pct"/>
            <w:noWrap/>
            <w:hideMark/>
          </w:tcPr>
          <w:p w14:paraId="22448A84"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proofErr w:type="spellStart"/>
            <w:r w:rsidRPr="003B3662">
              <w:rPr>
                <w:bCs/>
              </w:rPr>
              <w:t>Shovelomics</w:t>
            </w:r>
            <w:proofErr w:type="spellEnd"/>
          </w:p>
        </w:tc>
        <w:tc>
          <w:tcPr>
            <w:tcW w:w="1049" w:type="pct"/>
          </w:tcPr>
          <w:p w14:paraId="3A82AEBD" w14:textId="46E0C5FE"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DD5B7B">
              <w:rPr>
                <w:bCs/>
              </w:rPr>
              <w:t>/</w:t>
            </w:r>
            <w:r w:rsidRPr="003B3662">
              <w:rPr>
                <w:bCs/>
              </w:rPr>
              <w:t>A</w:t>
            </w:r>
          </w:p>
        </w:tc>
        <w:tc>
          <w:tcPr>
            <w:tcW w:w="1049" w:type="pct"/>
          </w:tcPr>
          <w:p w14:paraId="427658C2"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049" w:type="pct"/>
          </w:tcPr>
          <w:p w14:paraId="5137EAFC"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r>
      <w:tr w:rsidR="00840586" w:rsidRPr="00EB1D71" w14:paraId="7CEE0534" w14:textId="77777777" w:rsidTr="00840586">
        <w:trPr>
          <w:trHeight w:val="306"/>
        </w:trPr>
        <w:tc>
          <w:tcPr>
            <w:cnfStyle w:val="001000000000" w:firstRow="0" w:lastRow="0" w:firstColumn="1" w:lastColumn="0" w:oddVBand="0" w:evenVBand="0" w:oddHBand="0" w:evenHBand="0" w:firstRowFirstColumn="0" w:firstRowLastColumn="0" w:lastRowFirstColumn="0" w:lastRowLastColumn="0"/>
            <w:tcW w:w="804" w:type="pct"/>
            <w:noWrap/>
            <w:hideMark/>
          </w:tcPr>
          <w:p w14:paraId="22306DBE" w14:textId="77777777" w:rsidR="00840586" w:rsidRPr="002A1C7C" w:rsidRDefault="00840586" w:rsidP="002A1C7C">
            <w:pPr>
              <w:pStyle w:val="Table-Body-leftaligned"/>
              <w:rPr>
                <w:b w:val="0"/>
              </w:rPr>
            </w:pPr>
            <w:r w:rsidRPr="00584811">
              <w:t>Aggregate Stability</w:t>
            </w:r>
          </w:p>
        </w:tc>
        <w:tc>
          <w:tcPr>
            <w:tcW w:w="1049" w:type="pct"/>
            <w:noWrap/>
            <w:hideMark/>
          </w:tcPr>
          <w:p w14:paraId="36EEDB3B"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Wet sieving</w:t>
            </w:r>
          </w:p>
        </w:tc>
        <w:tc>
          <w:tcPr>
            <w:tcW w:w="1049" w:type="pct"/>
          </w:tcPr>
          <w:p w14:paraId="045D2BAC" w14:textId="3F255F18"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N</w:t>
            </w:r>
            <w:r w:rsidR="00DD5B7B">
              <w:rPr>
                <w:bCs/>
              </w:rPr>
              <w:t>/</w:t>
            </w:r>
            <w:r w:rsidRPr="003B3662">
              <w:rPr>
                <w:bCs/>
              </w:rPr>
              <w:t>A</w:t>
            </w:r>
          </w:p>
        </w:tc>
        <w:tc>
          <w:tcPr>
            <w:tcW w:w="1049" w:type="pct"/>
          </w:tcPr>
          <w:p w14:paraId="056112AC"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c>
          <w:tcPr>
            <w:tcW w:w="1049" w:type="pct"/>
          </w:tcPr>
          <w:p w14:paraId="7815F1E6"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r>
      <w:tr w:rsidR="00840586" w:rsidRPr="00EB1D71" w14:paraId="053CBA66" w14:textId="77777777" w:rsidTr="00840586">
        <w:trPr>
          <w:trHeight w:val="306"/>
        </w:trPr>
        <w:tc>
          <w:tcPr>
            <w:cnfStyle w:val="001000000000" w:firstRow="0" w:lastRow="0" w:firstColumn="1" w:lastColumn="0" w:oddVBand="0" w:evenVBand="0" w:oddHBand="0" w:evenHBand="0" w:firstRowFirstColumn="0" w:firstRowLastColumn="0" w:lastRowFirstColumn="0" w:lastRowLastColumn="0"/>
            <w:tcW w:w="804" w:type="pct"/>
            <w:noWrap/>
          </w:tcPr>
          <w:p w14:paraId="524A9772" w14:textId="77BE9F6B" w:rsidR="00840586" w:rsidRPr="002A1C7C" w:rsidRDefault="00840586" w:rsidP="002A1C7C">
            <w:pPr>
              <w:pStyle w:val="Table-Body-leftaligned"/>
              <w:rPr>
                <w:b w:val="0"/>
              </w:rPr>
            </w:pPr>
            <w:r w:rsidRPr="00584811">
              <w:t>Aggregate Stability</w:t>
            </w:r>
          </w:p>
        </w:tc>
        <w:tc>
          <w:tcPr>
            <w:tcW w:w="1049" w:type="pct"/>
            <w:noWrap/>
          </w:tcPr>
          <w:p w14:paraId="12A0DE7D"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Slake test</w:t>
            </w:r>
          </w:p>
        </w:tc>
        <w:tc>
          <w:tcPr>
            <w:tcW w:w="1049" w:type="pct"/>
          </w:tcPr>
          <w:p w14:paraId="40840E5E"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0</w:t>
            </w:r>
          </w:p>
        </w:tc>
        <w:tc>
          <w:tcPr>
            <w:tcW w:w="1049" w:type="pct"/>
          </w:tcPr>
          <w:p w14:paraId="25280564"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w:t>
            </w:r>
          </w:p>
        </w:tc>
        <w:tc>
          <w:tcPr>
            <w:tcW w:w="1049" w:type="pct"/>
          </w:tcPr>
          <w:p w14:paraId="0B638D9F"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r>
    </w:tbl>
    <w:p w14:paraId="05C77FEC" w14:textId="77777777" w:rsidR="00840586" w:rsidRPr="00EB1D71" w:rsidRDefault="00840586" w:rsidP="00840586">
      <w:pPr>
        <w:rPr>
          <w:rFonts w:asciiTheme="minorHAnsi" w:hAnsiTheme="minorHAnsi" w:cstheme="minorHAnsi"/>
        </w:rPr>
      </w:pPr>
    </w:p>
    <w:p w14:paraId="100D6821" w14:textId="77777777" w:rsidR="00DB13E4" w:rsidRDefault="00DB13E4" w:rsidP="00840586">
      <w:pPr>
        <w:pStyle w:val="Heading4"/>
        <w:rPr>
          <w:rFonts w:asciiTheme="minorHAnsi" w:hAnsiTheme="minorHAnsi" w:cstheme="minorHAnsi"/>
          <w:color w:val="006197" w:themeColor="text1" w:themeShade="BF"/>
        </w:rPr>
      </w:pPr>
      <w:bookmarkStart w:id="71" w:name="_Toc228622091"/>
    </w:p>
    <w:p w14:paraId="5183424C" w14:textId="4C706CDE" w:rsidR="00840586" w:rsidRPr="00654242" w:rsidRDefault="00840586" w:rsidP="00840586">
      <w:pPr>
        <w:pStyle w:val="Heading4"/>
        <w:rPr>
          <w:rFonts w:asciiTheme="minorHAnsi" w:hAnsiTheme="minorHAnsi" w:cstheme="minorHAnsi"/>
          <w:color w:val="006197" w:themeColor="text1" w:themeShade="BF"/>
        </w:rPr>
      </w:pPr>
      <w:r w:rsidRPr="00654242">
        <w:rPr>
          <w:rFonts w:asciiTheme="minorHAnsi" w:hAnsiTheme="minorHAnsi" w:cstheme="minorHAnsi"/>
          <w:color w:val="006197" w:themeColor="text1" w:themeShade="BF"/>
        </w:rPr>
        <w:t>Analytical costs</w:t>
      </w:r>
      <w:bookmarkEnd w:id="71"/>
    </w:p>
    <w:p w14:paraId="339334FA" w14:textId="21D95A1B" w:rsidR="00840586" w:rsidRPr="00EB1D71" w:rsidRDefault="00840586" w:rsidP="00B61993">
      <w:pPr>
        <w:rPr>
          <w:rFonts w:asciiTheme="minorHAnsi" w:hAnsiTheme="minorHAnsi" w:cstheme="minorHAnsi"/>
        </w:rPr>
      </w:pPr>
      <w:r w:rsidRPr="00EB1D71">
        <w:rPr>
          <w:rFonts w:asciiTheme="minorHAnsi" w:hAnsiTheme="minorHAnsi" w:cstheme="minorHAnsi"/>
        </w:rPr>
        <w:t xml:space="preserve">The farmer-led assessments of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and slake testing scored higher in our assessment of associated analytical costs for each considered indicator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_Ref224306992 \h </w:instrText>
      </w:r>
      <w:r w:rsidR="00AB0486"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14</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xml:space="preserve">). </w:t>
      </w:r>
      <w:r w:rsidR="001E64C3" w:rsidRPr="00EB1D71">
        <w:rPr>
          <w:rFonts w:asciiTheme="minorHAnsi" w:hAnsiTheme="minorHAnsi" w:cstheme="minorHAnsi"/>
        </w:rPr>
        <w:t>Other a</w:t>
      </w:r>
      <w:r w:rsidRPr="00EB1D71">
        <w:rPr>
          <w:rFonts w:asciiTheme="minorHAnsi" w:hAnsiTheme="minorHAnsi" w:cstheme="minorHAnsi"/>
        </w:rPr>
        <w:t>ssessments that were not readily available in commercial laboratories scored the lowest, e.g. aggregate stability as determined via wet sieving is widely used and published across academic soil science, but it was not possible to identify a commercially available test for this across any of the four key laboratories surveyed, resulting in a low overall score for cost effectiveness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_Ref224306992 \h </w:instrText>
      </w:r>
      <w:r w:rsidR="00AB0486"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14</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xml:space="preserve">). </w:t>
      </w:r>
    </w:p>
    <w:p w14:paraId="6B1456C6" w14:textId="77777777" w:rsidR="00840586" w:rsidRPr="00EB1D71" w:rsidRDefault="00840586" w:rsidP="00B61993">
      <w:pPr>
        <w:rPr>
          <w:rFonts w:asciiTheme="minorHAnsi" w:hAnsiTheme="minorHAnsi" w:cstheme="minorHAnsi"/>
        </w:rPr>
      </w:pPr>
      <w:r w:rsidRPr="00EB1D71">
        <w:rPr>
          <w:rFonts w:asciiTheme="minorHAnsi" w:hAnsiTheme="minorHAnsi" w:cstheme="minorHAnsi"/>
        </w:rPr>
        <w:t xml:space="preserve">Another aspect of the commercial cost of shortlisted indicators was </w:t>
      </w:r>
      <w:proofErr w:type="gramStart"/>
      <w:r w:rsidRPr="00EB1D71">
        <w:rPr>
          <w:rFonts w:asciiTheme="minorHAnsi" w:hAnsiTheme="minorHAnsi" w:cstheme="minorHAnsi"/>
        </w:rPr>
        <w:t>whether or not</w:t>
      </w:r>
      <w:proofErr w:type="gramEnd"/>
      <w:r w:rsidRPr="00EB1D71">
        <w:rPr>
          <w:rFonts w:asciiTheme="minorHAnsi" w:hAnsiTheme="minorHAnsi" w:cstheme="minorHAnsi"/>
        </w:rPr>
        <w:t xml:space="preserve"> they were available as individual tests, or as part of a package. This was a particular issue with active carbon as determined through potassium permanganate extraction, which was not available with any of the four main providers as a standalone test. Instead, it was only available packaged with other soil health and carbon related tests, costing from £58 - £70 per sample. This price is undoubtedly higher than the cost could be for that single analytical test, but because our analysis sought to reflect the prices to consumers, it </w:t>
      </w:r>
      <w:proofErr w:type="gramStart"/>
      <w:r w:rsidRPr="00EB1D71">
        <w:rPr>
          <w:rFonts w:asciiTheme="minorHAnsi" w:hAnsiTheme="minorHAnsi" w:cstheme="minorHAnsi"/>
        </w:rPr>
        <w:t>was considered to be</w:t>
      </w:r>
      <w:proofErr w:type="gramEnd"/>
      <w:r w:rsidRPr="00EB1D71">
        <w:rPr>
          <w:rFonts w:asciiTheme="minorHAnsi" w:hAnsiTheme="minorHAnsi" w:cstheme="minorHAnsi"/>
        </w:rPr>
        <w:t xml:space="preserve"> accurate. The difference in price between an individual PMN analysis (£25 at Lab 3) and PMN as part of a wider assessment (£65 at Lab 4) indicated the impact that this was likely to have on the overall results. </w:t>
      </w:r>
    </w:p>
    <w:p w14:paraId="0BF8157C" w14:textId="63FDECC1" w:rsidR="00840586" w:rsidRPr="00EB1D71" w:rsidRDefault="00840586" w:rsidP="00840586">
      <w:pPr>
        <w:pStyle w:val="Caption"/>
        <w:keepNext/>
        <w:spacing w:after="0"/>
        <w:rPr>
          <w:rFonts w:asciiTheme="minorHAnsi" w:hAnsiTheme="minorHAnsi" w:cstheme="minorHAnsi"/>
          <w:szCs w:val="22"/>
        </w:rPr>
      </w:pPr>
      <w:bookmarkStart w:id="72" w:name="_Ref224306992"/>
      <w:bookmarkStart w:id="73" w:name="_Toc228622120"/>
      <w:r w:rsidRPr="00EB1D71">
        <w:rPr>
          <w:rFonts w:asciiTheme="minorHAnsi" w:hAnsiTheme="minorHAnsi" w:cstheme="minorHAnsi"/>
          <w:szCs w:val="22"/>
        </w:rPr>
        <w:t xml:space="preserve">Table </w:t>
      </w:r>
      <w:r w:rsidRPr="00EB1D71">
        <w:rPr>
          <w:rFonts w:asciiTheme="minorHAnsi" w:hAnsiTheme="minorHAnsi" w:cstheme="minorHAnsi"/>
          <w:szCs w:val="22"/>
        </w:rPr>
        <w:fldChar w:fldCharType="begin"/>
      </w:r>
      <w:r w:rsidRPr="00EB1D71">
        <w:rPr>
          <w:rFonts w:asciiTheme="minorHAnsi" w:hAnsiTheme="minorHAnsi" w:cstheme="minorHAnsi"/>
          <w:szCs w:val="22"/>
        </w:rPr>
        <w:instrText xml:space="preserve"> SEQ Table \* ARABIC </w:instrText>
      </w:r>
      <w:r w:rsidRPr="00EB1D71">
        <w:rPr>
          <w:rFonts w:asciiTheme="minorHAnsi" w:hAnsiTheme="minorHAnsi" w:cstheme="minorHAnsi"/>
          <w:szCs w:val="22"/>
        </w:rPr>
        <w:fldChar w:fldCharType="separate"/>
      </w:r>
      <w:r w:rsidR="00C400DA">
        <w:rPr>
          <w:rFonts w:asciiTheme="minorHAnsi" w:hAnsiTheme="minorHAnsi" w:cstheme="minorHAnsi"/>
          <w:noProof/>
          <w:szCs w:val="22"/>
        </w:rPr>
        <w:t>14</w:t>
      </w:r>
      <w:r w:rsidRPr="00EB1D71">
        <w:rPr>
          <w:rFonts w:asciiTheme="minorHAnsi" w:hAnsiTheme="minorHAnsi" w:cstheme="minorHAnsi"/>
          <w:szCs w:val="22"/>
        </w:rPr>
        <w:fldChar w:fldCharType="end"/>
      </w:r>
      <w:bookmarkEnd w:id="72"/>
      <w:r w:rsidRPr="00EB1D71">
        <w:rPr>
          <w:rFonts w:asciiTheme="minorHAnsi" w:hAnsiTheme="minorHAnsi" w:cstheme="minorHAnsi"/>
          <w:szCs w:val="22"/>
        </w:rPr>
        <w:t>. Average scores obtained for each indicator and method for analytical costs.</w:t>
      </w:r>
      <w:bookmarkEnd w:id="73"/>
      <w:r w:rsidR="00591A71" w:rsidRPr="00EB1D71">
        <w:rPr>
          <w:rFonts w:asciiTheme="minorHAnsi" w:hAnsiTheme="minorHAnsi" w:cstheme="minorHAnsi"/>
          <w:szCs w:val="22"/>
        </w:rPr>
        <w:t xml:space="preserve"> NA = not applicable</w:t>
      </w:r>
    </w:p>
    <w:tbl>
      <w:tblPr>
        <w:tblStyle w:val="TableGrid"/>
        <w:tblW w:w="0" w:type="auto"/>
        <w:tblLook w:val="04A0" w:firstRow="1" w:lastRow="0" w:firstColumn="1" w:lastColumn="0" w:noHBand="0" w:noVBand="1"/>
      </w:tblPr>
      <w:tblGrid>
        <w:gridCol w:w="1476"/>
        <w:gridCol w:w="1584"/>
        <w:gridCol w:w="1078"/>
        <w:gridCol w:w="1036"/>
        <w:gridCol w:w="1314"/>
        <w:gridCol w:w="1666"/>
        <w:gridCol w:w="906"/>
      </w:tblGrid>
      <w:tr w:rsidR="00840586" w:rsidRPr="00EB1D71" w14:paraId="6B018C26" w14:textId="77777777" w:rsidTr="00F20770">
        <w:trPr>
          <w:cnfStyle w:val="100000000000" w:firstRow="1" w:lastRow="0" w:firstColumn="0" w:lastColumn="0" w:oddVBand="0" w:evenVBand="0" w:oddHBand="0"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476" w:type="dxa"/>
            <w:noWrap/>
          </w:tcPr>
          <w:p w14:paraId="475CFE6D" w14:textId="77777777" w:rsidR="00840586" w:rsidRPr="00B22117" w:rsidRDefault="00840586" w:rsidP="002A1C7C">
            <w:pPr>
              <w:pStyle w:val="TableHeading-centred-bold"/>
            </w:pPr>
            <w:r w:rsidRPr="002A1C7C">
              <w:rPr>
                <w:b/>
              </w:rPr>
              <w:t>Indicator</w:t>
            </w:r>
          </w:p>
        </w:tc>
        <w:tc>
          <w:tcPr>
            <w:tcW w:w="1584" w:type="dxa"/>
          </w:tcPr>
          <w:p w14:paraId="55998745"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Method</w:t>
            </w:r>
          </w:p>
        </w:tc>
        <w:tc>
          <w:tcPr>
            <w:tcW w:w="1078" w:type="dxa"/>
          </w:tcPr>
          <w:p w14:paraId="7DE73C94"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NRM</w:t>
            </w:r>
          </w:p>
        </w:tc>
        <w:tc>
          <w:tcPr>
            <w:tcW w:w="1036" w:type="dxa"/>
          </w:tcPr>
          <w:p w14:paraId="2B0BE3CA"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Yara</w:t>
            </w:r>
          </w:p>
        </w:tc>
        <w:tc>
          <w:tcPr>
            <w:tcW w:w="1314" w:type="dxa"/>
          </w:tcPr>
          <w:p w14:paraId="022E9720"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Hill Court Research</w:t>
            </w:r>
          </w:p>
        </w:tc>
        <w:tc>
          <w:tcPr>
            <w:tcW w:w="1666" w:type="dxa"/>
          </w:tcPr>
          <w:p w14:paraId="506858D4"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Eurofins</w:t>
            </w:r>
          </w:p>
        </w:tc>
        <w:tc>
          <w:tcPr>
            <w:tcW w:w="906" w:type="dxa"/>
          </w:tcPr>
          <w:p w14:paraId="4E248B51"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Overall Score</w:t>
            </w:r>
          </w:p>
        </w:tc>
      </w:tr>
      <w:tr w:rsidR="00840586" w:rsidRPr="00EB1D71" w14:paraId="7F21D2BA" w14:textId="77777777" w:rsidTr="00F20770">
        <w:trPr>
          <w:trHeight w:val="487"/>
        </w:trPr>
        <w:tc>
          <w:tcPr>
            <w:cnfStyle w:val="001000000000" w:firstRow="0" w:lastRow="0" w:firstColumn="1" w:lastColumn="0" w:oddVBand="0" w:evenVBand="0" w:oddHBand="0" w:evenHBand="0" w:firstRowFirstColumn="0" w:firstRowLastColumn="0" w:lastRowFirstColumn="0" w:lastRowLastColumn="0"/>
            <w:tcW w:w="1476" w:type="dxa"/>
            <w:noWrap/>
            <w:hideMark/>
          </w:tcPr>
          <w:p w14:paraId="356A72F5" w14:textId="77777777" w:rsidR="00840586" w:rsidRPr="002A1C7C" w:rsidRDefault="00840586" w:rsidP="002A1C7C">
            <w:pPr>
              <w:pStyle w:val="Table-Body-leftaligned"/>
              <w:rPr>
                <w:b w:val="0"/>
                <w:bCs/>
              </w:rPr>
            </w:pPr>
            <w:r w:rsidRPr="00584811">
              <w:rPr>
                <w:bCs/>
              </w:rPr>
              <w:t>PMN</w:t>
            </w:r>
          </w:p>
        </w:tc>
        <w:tc>
          <w:tcPr>
            <w:tcW w:w="1584" w:type="dxa"/>
          </w:tcPr>
          <w:p w14:paraId="4FC9033C" w14:textId="663939DE" w:rsidR="00840586" w:rsidRPr="003B3662"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7-day anaerobic incubation</w:t>
            </w:r>
          </w:p>
        </w:tc>
        <w:tc>
          <w:tcPr>
            <w:tcW w:w="1078" w:type="dxa"/>
          </w:tcPr>
          <w:p w14:paraId="6D8DF3A7" w14:textId="77777777" w:rsidR="00840586" w:rsidRPr="003B3662"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Not provided</w:t>
            </w:r>
          </w:p>
        </w:tc>
        <w:tc>
          <w:tcPr>
            <w:tcW w:w="1036" w:type="dxa"/>
          </w:tcPr>
          <w:p w14:paraId="79C94C38" w14:textId="77777777" w:rsidR="00840586" w:rsidRPr="003B3662"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Not provided</w:t>
            </w:r>
          </w:p>
        </w:tc>
        <w:tc>
          <w:tcPr>
            <w:tcW w:w="1314" w:type="dxa"/>
          </w:tcPr>
          <w:p w14:paraId="3A7DF89B" w14:textId="77777777" w:rsidR="00840586" w:rsidRPr="003B3662"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£25/sample on request</w:t>
            </w:r>
          </w:p>
        </w:tc>
        <w:tc>
          <w:tcPr>
            <w:tcW w:w="1666" w:type="dxa"/>
          </w:tcPr>
          <w:p w14:paraId="0DB71A51" w14:textId="77777777" w:rsidR="00840586" w:rsidRPr="003B3662"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Available as part of a larger Soil Health Indicator test for £65 / sample</w:t>
            </w:r>
          </w:p>
        </w:tc>
        <w:tc>
          <w:tcPr>
            <w:tcW w:w="906" w:type="dxa"/>
          </w:tcPr>
          <w:p w14:paraId="44795E42" w14:textId="77777777" w:rsidR="00840586" w:rsidRPr="003B3662"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1</w:t>
            </w:r>
          </w:p>
        </w:tc>
      </w:tr>
      <w:tr w:rsidR="00840586" w:rsidRPr="00EB1D71" w14:paraId="323BF35D" w14:textId="77777777" w:rsidTr="00F20770">
        <w:trPr>
          <w:trHeight w:val="281"/>
        </w:trPr>
        <w:tc>
          <w:tcPr>
            <w:cnfStyle w:val="001000000000" w:firstRow="0" w:lastRow="0" w:firstColumn="1" w:lastColumn="0" w:oddVBand="0" w:evenVBand="0" w:oddHBand="0" w:evenHBand="0" w:firstRowFirstColumn="0" w:firstRowLastColumn="0" w:lastRowFirstColumn="0" w:lastRowLastColumn="0"/>
            <w:tcW w:w="1476" w:type="dxa"/>
            <w:noWrap/>
            <w:hideMark/>
          </w:tcPr>
          <w:p w14:paraId="4F9E3815" w14:textId="77777777" w:rsidR="00840586" w:rsidRPr="002A1C7C" w:rsidRDefault="00840586" w:rsidP="002A1C7C">
            <w:pPr>
              <w:pStyle w:val="Table-Body-leftaligned"/>
              <w:rPr>
                <w:b w:val="0"/>
                <w:bCs/>
              </w:rPr>
            </w:pPr>
            <w:r w:rsidRPr="00584811">
              <w:rPr>
                <w:bCs/>
              </w:rPr>
              <w:t xml:space="preserve">Active C </w:t>
            </w:r>
          </w:p>
        </w:tc>
        <w:tc>
          <w:tcPr>
            <w:tcW w:w="1584" w:type="dxa"/>
          </w:tcPr>
          <w:p w14:paraId="03DA6A0E" w14:textId="77777777" w:rsidR="00840586" w:rsidRPr="003B3662"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Potassium permanganate extraction</w:t>
            </w:r>
          </w:p>
        </w:tc>
        <w:tc>
          <w:tcPr>
            <w:tcW w:w="1078" w:type="dxa"/>
          </w:tcPr>
          <w:p w14:paraId="6D234831" w14:textId="77777777" w:rsidR="00840586" w:rsidRPr="003B3662"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Available as part of Carbon Check plus for £58 / sample</w:t>
            </w:r>
          </w:p>
        </w:tc>
        <w:tc>
          <w:tcPr>
            <w:tcW w:w="1036" w:type="dxa"/>
          </w:tcPr>
          <w:p w14:paraId="7D9566F9" w14:textId="77777777" w:rsidR="00840586" w:rsidRPr="003B3662"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Not provided</w:t>
            </w:r>
          </w:p>
        </w:tc>
        <w:tc>
          <w:tcPr>
            <w:tcW w:w="1314" w:type="dxa"/>
          </w:tcPr>
          <w:p w14:paraId="679C634E" w14:textId="77777777" w:rsidR="00840586" w:rsidRPr="003B3662"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Available as part of Soil Carbon Plus check for £70 / sample</w:t>
            </w:r>
          </w:p>
        </w:tc>
        <w:tc>
          <w:tcPr>
            <w:tcW w:w="1666" w:type="dxa"/>
          </w:tcPr>
          <w:p w14:paraId="759A831F" w14:textId="77777777" w:rsidR="00840586" w:rsidRPr="003B3662"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Available as part of a larger Soil Carbon Check test for £65 / sample</w:t>
            </w:r>
          </w:p>
        </w:tc>
        <w:tc>
          <w:tcPr>
            <w:tcW w:w="906" w:type="dxa"/>
          </w:tcPr>
          <w:p w14:paraId="43A529A8" w14:textId="77777777" w:rsidR="00840586" w:rsidRPr="003B3662" w:rsidRDefault="00840586"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0</w:t>
            </w:r>
          </w:p>
        </w:tc>
      </w:tr>
      <w:tr w:rsidR="00F20770" w:rsidRPr="00EB1D71" w14:paraId="4979857F" w14:textId="77777777" w:rsidTr="00F20770">
        <w:trPr>
          <w:trHeight w:val="281"/>
        </w:trPr>
        <w:tc>
          <w:tcPr>
            <w:cnfStyle w:val="001000000000" w:firstRow="0" w:lastRow="0" w:firstColumn="1" w:lastColumn="0" w:oddVBand="0" w:evenVBand="0" w:oddHBand="0" w:evenHBand="0" w:firstRowFirstColumn="0" w:firstRowLastColumn="0" w:lastRowFirstColumn="0" w:lastRowLastColumn="0"/>
            <w:tcW w:w="1476" w:type="dxa"/>
            <w:noWrap/>
          </w:tcPr>
          <w:p w14:paraId="74F38D08" w14:textId="6DC1855E" w:rsidR="00F20770" w:rsidRPr="002A1C7C" w:rsidRDefault="00F20770" w:rsidP="002A1C7C">
            <w:pPr>
              <w:pStyle w:val="Table-Body-leftaligned"/>
              <w:rPr>
                <w:b w:val="0"/>
                <w:bCs/>
              </w:rPr>
            </w:pPr>
            <w:r w:rsidRPr="00584811">
              <w:rPr>
                <w:bCs/>
              </w:rPr>
              <w:t>Crop Root Architecture</w:t>
            </w:r>
          </w:p>
        </w:tc>
        <w:tc>
          <w:tcPr>
            <w:tcW w:w="1584" w:type="dxa"/>
          </w:tcPr>
          <w:p w14:paraId="3E766238" w14:textId="342650CC"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proofErr w:type="spellStart"/>
            <w:r w:rsidRPr="003B3662">
              <w:t>Shovelomics</w:t>
            </w:r>
            <w:r w:rsidRPr="003B3662">
              <w:rPr>
                <w:vertAlign w:val="superscript"/>
              </w:rPr>
              <w:t>a</w:t>
            </w:r>
            <w:proofErr w:type="spellEnd"/>
          </w:p>
        </w:tc>
        <w:tc>
          <w:tcPr>
            <w:tcW w:w="1078" w:type="dxa"/>
          </w:tcPr>
          <w:p w14:paraId="5EA2D0FD" w14:textId="13F0CB5C"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w:t>
            </w:r>
            <w:r w:rsidR="00DD5B7B">
              <w:t>/</w:t>
            </w:r>
            <w:r w:rsidRPr="003B3662">
              <w:t>A</w:t>
            </w:r>
          </w:p>
        </w:tc>
        <w:tc>
          <w:tcPr>
            <w:tcW w:w="1036" w:type="dxa"/>
          </w:tcPr>
          <w:p w14:paraId="2738612A" w14:textId="29E15F7B"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w:t>
            </w:r>
            <w:r w:rsidR="00DD5B7B">
              <w:t>/</w:t>
            </w:r>
            <w:r w:rsidRPr="003B3662">
              <w:t>A</w:t>
            </w:r>
          </w:p>
        </w:tc>
        <w:tc>
          <w:tcPr>
            <w:tcW w:w="1314" w:type="dxa"/>
          </w:tcPr>
          <w:p w14:paraId="38F44746" w14:textId="4F44B737"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w:t>
            </w:r>
            <w:r w:rsidR="00DD5B7B">
              <w:t>/</w:t>
            </w:r>
            <w:r w:rsidRPr="003B3662">
              <w:t>A</w:t>
            </w:r>
          </w:p>
        </w:tc>
        <w:tc>
          <w:tcPr>
            <w:tcW w:w="1666" w:type="dxa"/>
          </w:tcPr>
          <w:p w14:paraId="0E5F190E" w14:textId="2517D84D"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w:t>
            </w:r>
            <w:r w:rsidR="00DD5B7B">
              <w:t>/</w:t>
            </w:r>
            <w:r w:rsidRPr="003B3662">
              <w:t>A</w:t>
            </w:r>
          </w:p>
        </w:tc>
        <w:tc>
          <w:tcPr>
            <w:tcW w:w="906" w:type="dxa"/>
          </w:tcPr>
          <w:p w14:paraId="7150F2A5" w14:textId="47F26F8A"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2</w:t>
            </w:r>
          </w:p>
        </w:tc>
      </w:tr>
      <w:tr w:rsidR="00F20770" w:rsidRPr="00EB1D71" w14:paraId="3D460880" w14:textId="77777777" w:rsidTr="00F20770">
        <w:trPr>
          <w:trHeight w:val="281"/>
        </w:trPr>
        <w:tc>
          <w:tcPr>
            <w:cnfStyle w:val="001000000000" w:firstRow="0" w:lastRow="0" w:firstColumn="1" w:lastColumn="0" w:oddVBand="0" w:evenVBand="0" w:oddHBand="0" w:evenHBand="0" w:firstRowFirstColumn="0" w:firstRowLastColumn="0" w:lastRowFirstColumn="0" w:lastRowLastColumn="0"/>
            <w:tcW w:w="1476" w:type="dxa"/>
            <w:noWrap/>
          </w:tcPr>
          <w:p w14:paraId="370C34BE" w14:textId="7EEAEA1C" w:rsidR="00F20770" w:rsidRPr="002A1C7C" w:rsidRDefault="00F20770" w:rsidP="002A1C7C">
            <w:pPr>
              <w:pStyle w:val="Table-Body-leftaligned"/>
              <w:rPr>
                <w:b w:val="0"/>
                <w:bCs/>
              </w:rPr>
            </w:pPr>
            <w:r w:rsidRPr="00584811">
              <w:rPr>
                <w:bCs/>
              </w:rPr>
              <w:t>Aggregate Stability</w:t>
            </w:r>
          </w:p>
        </w:tc>
        <w:tc>
          <w:tcPr>
            <w:tcW w:w="1584" w:type="dxa"/>
          </w:tcPr>
          <w:p w14:paraId="6A5021CE" w14:textId="68F7575C"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Wet sieving</w:t>
            </w:r>
          </w:p>
        </w:tc>
        <w:tc>
          <w:tcPr>
            <w:tcW w:w="1078" w:type="dxa"/>
          </w:tcPr>
          <w:p w14:paraId="1F2DD24D" w14:textId="73DF54BD"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Not provided</w:t>
            </w:r>
          </w:p>
        </w:tc>
        <w:tc>
          <w:tcPr>
            <w:tcW w:w="1036" w:type="dxa"/>
          </w:tcPr>
          <w:p w14:paraId="3BE98E1E" w14:textId="59C2BB36"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Not provided</w:t>
            </w:r>
          </w:p>
        </w:tc>
        <w:tc>
          <w:tcPr>
            <w:tcW w:w="1314" w:type="dxa"/>
          </w:tcPr>
          <w:p w14:paraId="09FDECF1" w14:textId="1E94FDD5"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Not provided</w:t>
            </w:r>
          </w:p>
        </w:tc>
        <w:tc>
          <w:tcPr>
            <w:tcW w:w="1666" w:type="dxa"/>
          </w:tcPr>
          <w:p w14:paraId="6D779D6F" w14:textId="54DA877B"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Not provided</w:t>
            </w:r>
          </w:p>
        </w:tc>
        <w:tc>
          <w:tcPr>
            <w:tcW w:w="906" w:type="dxa"/>
          </w:tcPr>
          <w:p w14:paraId="20DF9AE5" w14:textId="5E8C4EE0"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0</w:t>
            </w:r>
          </w:p>
        </w:tc>
      </w:tr>
      <w:tr w:rsidR="00F20770" w:rsidRPr="00EB1D71" w14:paraId="1B2D084E" w14:textId="77777777" w:rsidTr="00F20770">
        <w:trPr>
          <w:trHeight w:val="349"/>
        </w:trPr>
        <w:tc>
          <w:tcPr>
            <w:cnfStyle w:val="001000000000" w:firstRow="0" w:lastRow="0" w:firstColumn="1" w:lastColumn="0" w:oddVBand="0" w:evenVBand="0" w:oddHBand="0" w:evenHBand="0" w:firstRowFirstColumn="0" w:firstRowLastColumn="0" w:lastRowFirstColumn="0" w:lastRowLastColumn="0"/>
            <w:tcW w:w="1476" w:type="dxa"/>
            <w:noWrap/>
            <w:hideMark/>
          </w:tcPr>
          <w:p w14:paraId="16485079" w14:textId="77777777" w:rsidR="00F20770" w:rsidRPr="002A1C7C" w:rsidRDefault="00F20770" w:rsidP="002A1C7C">
            <w:pPr>
              <w:pStyle w:val="Table-Body-leftaligned"/>
              <w:rPr>
                <w:b w:val="0"/>
                <w:bCs/>
              </w:rPr>
            </w:pPr>
            <w:r w:rsidRPr="00584811">
              <w:rPr>
                <w:bCs/>
              </w:rPr>
              <w:t>Aggregate Stability</w:t>
            </w:r>
          </w:p>
        </w:tc>
        <w:tc>
          <w:tcPr>
            <w:tcW w:w="1584" w:type="dxa"/>
          </w:tcPr>
          <w:p w14:paraId="6F43E402" w14:textId="0C253608"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 xml:space="preserve">Slake </w:t>
            </w:r>
            <w:proofErr w:type="spellStart"/>
            <w:r w:rsidRPr="003B3662">
              <w:t>test</w:t>
            </w:r>
            <w:r w:rsidRPr="003B3662">
              <w:rPr>
                <w:vertAlign w:val="superscript"/>
              </w:rPr>
              <w:t>b</w:t>
            </w:r>
            <w:proofErr w:type="spellEnd"/>
          </w:p>
        </w:tc>
        <w:tc>
          <w:tcPr>
            <w:tcW w:w="1078" w:type="dxa"/>
          </w:tcPr>
          <w:p w14:paraId="1A8F0775" w14:textId="301A3D30"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w:t>
            </w:r>
            <w:r w:rsidR="00DD5B7B">
              <w:t>/</w:t>
            </w:r>
            <w:r w:rsidRPr="003B3662">
              <w:t>A</w:t>
            </w:r>
          </w:p>
        </w:tc>
        <w:tc>
          <w:tcPr>
            <w:tcW w:w="1036" w:type="dxa"/>
          </w:tcPr>
          <w:p w14:paraId="7C1DC82D" w14:textId="1C365BA9"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w:t>
            </w:r>
            <w:r w:rsidR="00DD5B7B">
              <w:t>/</w:t>
            </w:r>
            <w:r w:rsidRPr="003B3662">
              <w:t>A</w:t>
            </w:r>
          </w:p>
        </w:tc>
        <w:tc>
          <w:tcPr>
            <w:tcW w:w="1314" w:type="dxa"/>
          </w:tcPr>
          <w:p w14:paraId="1D955ACA" w14:textId="0285F8FD"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w:t>
            </w:r>
            <w:r w:rsidR="00DD5B7B">
              <w:t>/</w:t>
            </w:r>
            <w:r w:rsidRPr="003B3662">
              <w:t>A</w:t>
            </w:r>
          </w:p>
        </w:tc>
        <w:tc>
          <w:tcPr>
            <w:tcW w:w="1666" w:type="dxa"/>
          </w:tcPr>
          <w:p w14:paraId="05C8B55A" w14:textId="789595D6"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N</w:t>
            </w:r>
            <w:r w:rsidR="00DD5B7B">
              <w:t>/</w:t>
            </w:r>
            <w:r w:rsidRPr="003B3662">
              <w:t>A</w:t>
            </w:r>
          </w:p>
        </w:tc>
        <w:tc>
          <w:tcPr>
            <w:tcW w:w="906" w:type="dxa"/>
          </w:tcPr>
          <w:p w14:paraId="7FE1F97C" w14:textId="4A5BE10B" w:rsidR="00F20770" w:rsidRPr="003B3662" w:rsidRDefault="00F20770" w:rsidP="002A1C7C">
            <w:pPr>
              <w:pStyle w:val="Table-Body-centred"/>
              <w:spacing w:before="144" w:after="144"/>
              <w:cnfStyle w:val="000000000000" w:firstRow="0" w:lastRow="0" w:firstColumn="0" w:lastColumn="0" w:oddVBand="0" w:evenVBand="0" w:oddHBand="0" w:evenHBand="0" w:firstRowFirstColumn="0" w:firstRowLastColumn="0" w:lastRowFirstColumn="0" w:lastRowLastColumn="0"/>
            </w:pPr>
            <w:r w:rsidRPr="003B3662">
              <w:t>2</w:t>
            </w:r>
          </w:p>
        </w:tc>
      </w:tr>
    </w:tbl>
    <w:p w14:paraId="446AB3E8" w14:textId="1710F2A3" w:rsidR="00963005" w:rsidRDefault="00963005" w:rsidP="00963005">
      <w:pPr>
        <w:pStyle w:val="Footnotes"/>
        <w:spacing w:before="120" w:after="0"/>
        <w:jc w:val="left"/>
        <w:rPr>
          <w:rFonts w:asciiTheme="minorHAnsi" w:hAnsiTheme="minorHAnsi" w:cstheme="minorHAnsi"/>
        </w:rPr>
      </w:pPr>
      <w:r>
        <w:rPr>
          <w:rFonts w:asciiTheme="minorHAnsi" w:hAnsiTheme="minorHAnsi" w:cstheme="minorHAnsi"/>
        </w:rPr>
        <w:t>a</w:t>
      </w:r>
      <w:r w:rsidR="00F20770" w:rsidRPr="00EB1D71">
        <w:rPr>
          <w:rFonts w:asciiTheme="minorHAnsi" w:hAnsiTheme="minorHAnsi" w:cstheme="minorHAnsi"/>
        </w:rPr>
        <w:t xml:space="preserve"> </w:t>
      </w:r>
      <w:proofErr w:type="spellStart"/>
      <w:r w:rsidR="00F20770" w:rsidRPr="00EB1D71">
        <w:rPr>
          <w:rFonts w:asciiTheme="minorHAnsi" w:hAnsiTheme="minorHAnsi" w:cstheme="minorHAnsi"/>
        </w:rPr>
        <w:t>Shovelomics</w:t>
      </w:r>
      <w:proofErr w:type="spellEnd"/>
      <w:r w:rsidR="00F20770" w:rsidRPr="00EB1D71">
        <w:rPr>
          <w:rFonts w:asciiTheme="minorHAnsi" w:hAnsiTheme="minorHAnsi" w:cstheme="minorHAnsi"/>
        </w:rPr>
        <w:t xml:space="preserve"> is not tested in the laboratory</w:t>
      </w:r>
      <w:r w:rsidR="00F70D99" w:rsidRPr="00EB1D71">
        <w:rPr>
          <w:rFonts w:asciiTheme="minorHAnsi" w:hAnsiTheme="minorHAnsi" w:cstheme="minorHAnsi"/>
        </w:rPr>
        <w:t>;</w:t>
      </w:r>
      <w:r w:rsidR="00F20770" w:rsidRPr="00EB1D71">
        <w:rPr>
          <w:rFonts w:asciiTheme="minorHAnsi" w:hAnsiTheme="minorHAnsi" w:cstheme="minorHAnsi"/>
        </w:rPr>
        <w:t xml:space="preserve"> it is a freely available assessment </w:t>
      </w:r>
      <w:r w:rsidR="00F70D99" w:rsidRPr="00EB1D71">
        <w:rPr>
          <w:rFonts w:asciiTheme="minorHAnsi" w:hAnsiTheme="minorHAnsi" w:cstheme="minorHAnsi"/>
        </w:rPr>
        <w:t xml:space="preserve">with </w:t>
      </w:r>
      <w:r w:rsidR="00F20770" w:rsidRPr="00EB1D71">
        <w:rPr>
          <w:rFonts w:asciiTheme="minorHAnsi" w:hAnsiTheme="minorHAnsi" w:cstheme="minorHAnsi"/>
        </w:rPr>
        <w:t xml:space="preserve">materials provided online through </w:t>
      </w:r>
      <w:r w:rsidR="00F70D99" w:rsidRPr="00EB1D71">
        <w:rPr>
          <w:rFonts w:asciiTheme="minorHAnsi" w:hAnsiTheme="minorHAnsi" w:cstheme="minorHAnsi"/>
        </w:rPr>
        <w:t xml:space="preserve">the </w:t>
      </w:r>
      <w:r w:rsidR="00F20770" w:rsidRPr="00EB1D71">
        <w:rPr>
          <w:rFonts w:asciiTheme="minorHAnsi" w:hAnsiTheme="minorHAnsi" w:cstheme="minorHAnsi"/>
        </w:rPr>
        <w:t>TRUTH project.</w:t>
      </w:r>
    </w:p>
    <w:p w14:paraId="039CF5FF" w14:textId="20C86F83" w:rsidR="00F20770" w:rsidRPr="00EB1D71" w:rsidRDefault="00F20770" w:rsidP="00963005">
      <w:pPr>
        <w:pStyle w:val="Footnotes"/>
        <w:spacing w:before="120" w:after="0"/>
        <w:jc w:val="left"/>
        <w:rPr>
          <w:rFonts w:asciiTheme="minorHAnsi" w:hAnsiTheme="minorHAnsi" w:cstheme="minorHAnsi"/>
        </w:rPr>
      </w:pPr>
      <w:r w:rsidRPr="00EB1D71">
        <w:rPr>
          <w:rFonts w:asciiTheme="minorHAnsi" w:hAnsiTheme="minorHAnsi" w:cstheme="minorHAnsi"/>
        </w:rPr>
        <w:t>b Slake test is not tested in the laboratory</w:t>
      </w:r>
      <w:r w:rsidR="00F94748" w:rsidRPr="00EB1D71">
        <w:rPr>
          <w:rFonts w:asciiTheme="minorHAnsi" w:hAnsiTheme="minorHAnsi" w:cstheme="minorHAnsi"/>
        </w:rPr>
        <w:t>;</w:t>
      </w:r>
      <w:r w:rsidRPr="00EB1D71">
        <w:rPr>
          <w:rFonts w:asciiTheme="minorHAnsi" w:hAnsiTheme="minorHAnsi" w:cstheme="minorHAnsi"/>
        </w:rPr>
        <w:t xml:space="preserve"> it is freely available via SLAKES App, or £35 for up to 8 fields via the </w:t>
      </w:r>
      <w:proofErr w:type="spellStart"/>
      <w:r w:rsidRPr="00EB1D71">
        <w:rPr>
          <w:rFonts w:asciiTheme="minorHAnsi" w:hAnsiTheme="minorHAnsi" w:cstheme="minorHAnsi"/>
        </w:rPr>
        <w:t>Soilmentor</w:t>
      </w:r>
      <w:proofErr w:type="spellEnd"/>
      <w:r w:rsidRPr="00EB1D71">
        <w:rPr>
          <w:rFonts w:asciiTheme="minorHAnsi" w:hAnsiTheme="minorHAnsi" w:cstheme="minorHAnsi"/>
        </w:rPr>
        <w:t xml:space="preserve"> App.</w:t>
      </w:r>
    </w:p>
    <w:p w14:paraId="59108864" w14:textId="77777777" w:rsidR="0077481D" w:rsidRPr="00EB1D71" w:rsidRDefault="0077481D" w:rsidP="00F20770">
      <w:pPr>
        <w:pStyle w:val="Heading4"/>
        <w:rPr>
          <w:rFonts w:asciiTheme="minorHAnsi" w:hAnsiTheme="minorHAnsi" w:cstheme="minorHAnsi"/>
        </w:rPr>
      </w:pPr>
      <w:bookmarkStart w:id="74" w:name="_Toc228622092"/>
    </w:p>
    <w:p w14:paraId="68AE0E37" w14:textId="77777777" w:rsidR="0077481D" w:rsidRPr="00EB1D71" w:rsidRDefault="0077481D" w:rsidP="00F20770">
      <w:pPr>
        <w:pStyle w:val="Heading4"/>
        <w:rPr>
          <w:rFonts w:asciiTheme="minorHAnsi" w:hAnsiTheme="minorHAnsi" w:cstheme="minorHAnsi"/>
        </w:rPr>
      </w:pPr>
    </w:p>
    <w:p w14:paraId="24C2B51B" w14:textId="77777777" w:rsidR="00D64F79" w:rsidRDefault="00D64F79">
      <w:pPr>
        <w:spacing w:line="278" w:lineRule="auto"/>
        <w:rPr>
          <w:rFonts w:asciiTheme="minorHAnsi" w:eastAsiaTheme="majorEastAsia" w:hAnsiTheme="minorHAnsi" w:cstheme="minorHAnsi"/>
          <w:iCs/>
          <w:color w:val="0082CA" w:themeColor="text1"/>
          <w:sz w:val="24"/>
        </w:rPr>
      </w:pPr>
      <w:r>
        <w:rPr>
          <w:rFonts w:asciiTheme="minorHAnsi" w:hAnsiTheme="minorHAnsi" w:cstheme="minorHAnsi"/>
        </w:rPr>
        <w:br w:type="page"/>
      </w:r>
    </w:p>
    <w:p w14:paraId="27E48CDB" w14:textId="26C31328" w:rsidR="00840586" w:rsidRPr="002A1C7C" w:rsidRDefault="00840586" w:rsidP="00F20770">
      <w:pPr>
        <w:pStyle w:val="Heading4"/>
        <w:rPr>
          <w:rFonts w:asciiTheme="minorHAnsi" w:hAnsiTheme="minorHAnsi" w:cstheme="minorHAnsi"/>
          <w:color w:val="006197" w:themeColor="text1" w:themeShade="BF"/>
        </w:rPr>
      </w:pPr>
      <w:r w:rsidRPr="002A1C7C">
        <w:rPr>
          <w:rFonts w:asciiTheme="minorHAnsi" w:hAnsiTheme="minorHAnsi" w:cstheme="minorHAnsi"/>
          <w:color w:val="006197" w:themeColor="text1" w:themeShade="BF"/>
        </w:rPr>
        <w:lastRenderedPageBreak/>
        <w:t>Overall Rankings</w:t>
      </w:r>
      <w:bookmarkEnd w:id="74"/>
    </w:p>
    <w:p w14:paraId="05FC775E" w14:textId="5E2DD5EA" w:rsidR="00840586" w:rsidRPr="00EB1D71" w:rsidRDefault="00840586" w:rsidP="00840586">
      <w:pPr>
        <w:rPr>
          <w:rFonts w:asciiTheme="minorHAnsi" w:hAnsiTheme="minorHAnsi" w:cstheme="minorHAnsi"/>
        </w:rPr>
      </w:pPr>
      <w:r w:rsidRPr="00EB1D71">
        <w:rPr>
          <w:rFonts w:asciiTheme="minorHAnsi" w:hAnsiTheme="minorHAnsi" w:cstheme="minorHAnsi"/>
        </w:rPr>
        <w:t>The logical sieve, informed by our evidence review, commercial review and industry workshops, resulted in a ranking of four indicators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_Ref224310099 \h </w:instrText>
      </w:r>
      <w:r w:rsidR="00AB0486"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15</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xml:space="preserve">). </w:t>
      </w:r>
    </w:p>
    <w:p w14:paraId="4D4EA55B" w14:textId="346A9C14" w:rsidR="00840586" w:rsidRPr="00EB1D71" w:rsidRDefault="00840586" w:rsidP="00840586">
      <w:pPr>
        <w:pStyle w:val="Caption"/>
        <w:keepNext/>
        <w:spacing w:after="0"/>
        <w:rPr>
          <w:rFonts w:asciiTheme="minorHAnsi" w:hAnsiTheme="minorHAnsi" w:cstheme="minorHAnsi"/>
          <w:szCs w:val="22"/>
        </w:rPr>
      </w:pPr>
      <w:bookmarkStart w:id="75" w:name="_Ref224310099"/>
      <w:bookmarkStart w:id="76" w:name="_Toc228622121"/>
      <w:r w:rsidRPr="00EB1D71">
        <w:rPr>
          <w:rFonts w:asciiTheme="minorHAnsi" w:hAnsiTheme="minorHAnsi" w:cstheme="minorHAnsi"/>
          <w:szCs w:val="22"/>
        </w:rPr>
        <w:t xml:space="preserve">Table </w:t>
      </w:r>
      <w:r w:rsidRPr="00EB1D71">
        <w:rPr>
          <w:rFonts w:asciiTheme="minorHAnsi" w:hAnsiTheme="minorHAnsi" w:cstheme="minorHAnsi"/>
          <w:szCs w:val="22"/>
        </w:rPr>
        <w:fldChar w:fldCharType="begin"/>
      </w:r>
      <w:r w:rsidRPr="00EB1D71">
        <w:rPr>
          <w:rFonts w:asciiTheme="minorHAnsi" w:hAnsiTheme="minorHAnsi" w:cstheme="minorHAnsi"/>
          <w:szCs w:val="22"/>
        </w:rPr>
        <w:instrText xml:space="preserve"> SEQ Table \* ARABIC </w:instrText>
      </w:r>
      <w:r w:rsidRPr="00EB1D71">
        <w:rPr>
          <w:rFonts w:asciiTheme="minorHAnsi" w:hAnsiTheme="minorHAnsi" w:cstheme="minorHAnsi"/>
          <w:szCs w:val="22"/>
        </w:rPr>
        <w:fldChar w:fldCharType="separate"/>
      </w:r>
      <w:r w:rsidR="00C400DA">
        <w:rPr>
          <w:rFonts w:asciiTheme="minorHAnsi" w:hAnsiTheme="minorHAnsi" w:cstheme="minorHAnsi"/>
          <w:noProof/>
          <w:szCs w:val="22"/>
        </w:rPr>
        <w:t>15</w:t>
      </w:r>
      <w:r w:rsidRPr="00EB1D71">
        <w:rPr>
          <w:rFonts w:asciiTheme="minorHAnsi" w:hAnsiTheme="minorHAnsi" w:cstheme="minorHAnsi"/>
          <w:szCs w:val="22"/>
        </w:rPr>
        <w:fldChar w:fldCharType="end"/>
      </w:r>
      <w:bookmarkEnd w:id="75"/>
      <w:r w:rsidRPr="00EB1D71">
        <w:rPr>
          <w:rFonts w:asciiTheme="minorHAnsi" w:hAnsiTheme="minorHAnsi" w:cstheme="minorHAnsi"/>
          <w:szCs w:val="22"/>
        </w:rPr>
        <w:t>. Collated scores and overall rankings for shortlisted indicators, derived from the logical sieve.</w:t>
      </w:r>
      <w:bookmarkEnd w:id="76"/>
    </w:p>
    <w:tbl>
      <w:tblPr>
        <w:tblStyle w:val="TableGrid"/>
        <w:tblW w:w="0" w:type="auto"/>
        <w:tblLook w:val="04A0" w:firstRow="1" w:lastRow="0" w:firstColumn="1" w:lastColumn="0" w:noHBand="0" w:noVBand="1"/>
      </w:tblPr>
      <w:tblGrid>
        <w:gridCol w:w="2889"/>
        <w:gridCol w:w="3354"/>
        <w:gridCol w:w="3385"/>
      </w:tblGrid>
      <w:tr w:rsidR="00840586" w:rsidRPr="00EB1D71" w14:paraId="2C248027" w14:textId="77777777" w:rsidTr="00F207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9" w:type="dxa"/>
          </w:tcPr>
          <w:p w14:paraId="5D2A8533" w14:textId="77777777" w:rsidR="00840586" w:rsidRPr="00B22117" w:rsidRDefault="00840586" w:rsidP="002A1C7C">
            <w:pPr>
              <w:pStyle w:val="TableHeading-centred-bold"/>
            </w:pPr>
            <w:r w:rsidRPr="002A1C7C">
              <w:rPr>
                <w:b/>
              </w:rPr>
              <w:t>Indicator</w:t>
            </w:r>
          </w:p>
        </w:tc>
        <w:tc>
          <w:tcPr>
            <w:tcW w:w="3354" w:type="dxa"/>
          </w:tcPr>
          <w:p w14:paraId="4344DA02"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Collated Score</w:t>
            </w:r>
          </w:p>
        </w:tc>
        <w:tc>
          <w:tcPr>
            <w:tcW w:w="3385" w:type="dxa"/>
          </w:tcPr>
          <w:p w14:paraId="436C4875" w14:textId="77777777" w:rsidR="00840586" w:rsidRPr="00B22117" w:rsidRDefault="00840586" w:rsidP="002A1C7C">
            <w:pPr>
              <w:pStyle w:val="TableHeading-centred-bold"/>
              <w:jc w:val="center"/>
              <w:cnfStyle w:val="100000000000" w:firstRow="1" w:lastRow="0" w:firstColumn="0" w:lastColumn="0" w:oddVBand="0" w:evenVBand="0" w:oddHBand="0" w:evenHBand="0" w:firstRowFirstColumn="0" w:firstRowLastColumn="0" w:lastRowFirstColumn="0" w:lastRowLastColumn="0"/>
            </w:pPr>
            <w:r w:rsidRPr="002A1C7C">
              <w:rPr>
                <w:b/>
              </w:rPr>
              <w:t>Rank</w:t>
            </w:r>
          </w:p>
        </w:tc>
      </w:tr>
      <w:tr w:rsidR="00840586" w:rsidRPr="00EB1D71" w14:paraId="0F603E5D" w14:textId="77777777" w:rsidTr="00F20770">
        <w:tc>
          <w:tcPr>
            <w:cnfStyle w:val="001000000000" w:firstRow="0" w:lastRow="0" w:firstColumn="1" w:lastColumn="0" w:oddVBand="0" w:evenVBand="0" w:oddHBand="0" w:evenHBand="0" w:firstRowFirstColumn="0" w:firstRowLastColumn="0" w:lastRowFirstColumn="0" w:lastRowLastColumn="0"/>
            <w:tcW w:w="2889" w:type="dxa"/>
          </w:tcPr>
          <w:p w14:paraId="0F55353B" w14:textId="77777777" w:rsidR="00840586" w:rsidRPr="002A1C7C" w:rsidRDefault="00840586" w:rsidP="002A1C7C">
            <w:pPr>
              <w:pStyle w:val="Table-Body-leftaligned"/>
              <w:rPr>
                <w:b w:val="0"/>
              </w:rPr>
            </w:pPr>
            <w:r w:rsidRPr="00584811">
              <w:t>Aggregate Stability</w:t>
            </w:r>
          </w:p>
        </w:tc>
        <w:tc>
          <w:tcPr>
            <w:tcW w:w="3354" w:type="dxa"/>
          </w:tcPr>
          <w:p w14:paraId="52E7E2D6"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6.13</w:t>
            </w:r>
          </w:p>
        </w:tc>
        <w:tc>
          <w:tcPr>
            <w:tcW w:w="3385" w:type="dxa"/>
          </w:tcPr>
          <w:p w14:paraId="24F613BF"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1</w:t>
            </w:r>
          </w:p>
        </w:tc>
      </w:tr>
      <w:tr w:rsidR="00840586" w:rsidRPr="00EB1D71" w14:paraId="5500D122" w14:textId="77777777" w:rsidTr="00F20770">
        <w:tc>
          <w:tcPr>
            <w:cnfStyle w:val="001000000000" w:firstRow="0" w:lastRow="0" w:firstColumn="1" w:lastColumn="0" w:oddVBand="0" w:evenVBand="0" w:oddHBand="0" w:evenHBand="0" w:firstRowFirstColumn="0" w:firstRowLastColumn="0" w:lastRowFirstColumn="0" w:lastRowLastColumn="0"/>
            <w:tcW w:w="2889" w:type="dxa"/>
          </w:tcPr>
          <w:p w14:paraId="7A451D32" w14:textId="77777777" w:rsidR="00840586" w:rsidRPr="002A1C7C" w:rsidRDefault="00840586" w:rsidP="002A1C7C">
            <w:pPr>
              <w:pStyle w:val="Table-Body-leftaligned"/>
              <w:rPr>
                <w:b w:val="0"/>
              </w:rPr>
            </w:pPr>
            <w:r w:rsidRPr="00584811">
              <w:t>Crop Root Architecture</w:t>
            </w:r>
          </w:p>
        </w:tc>
        <w:tc>
          <w:tcPr>
            <w:tcW w:w="3354" w:type="dxa"/>
          </w:tcPr>
          <w:p w14:paraId="487DF5D5"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5.62</w:t>
            </w:r>
          </w:p>
        </w:tc>
        <w:tc>
          <w:tcPr>
            <w:tcW w:w="3385" w:type="dxa"/>
          </w:tcPr>
          <w:p w14:paraId="234CD129"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2</w:t>
            </w:r>
          </w:p>
        </w:tc>
      </w:tr>
      <w:tr w:rsidR="00840586" w:rsidRPr="00EB1D71" w14:paraId="2962BF31" w14:textId="77777777" w:rsidTr="00F20770">
        <w:tc>
          <w:tcPr>
            <w:cnfStyle w:val="001000000000" w:firstRow="0" w:lastRow="0" w:firstColumn="1" w:lastColumn="0" w:oddVBand="0" w:evenVBand="0" w:oddHBand="0" w:evenHBand="0" w:firstRowFirstColumn="0" w:firstRowLastColumn="0" w:lastRowFirstColumn="0" w:lastRowLastColumn="0"/>
            <w:tcW w:w="2889" w:type="dxa"/>
          </w:tcPr>
          <w:p w14:paraId="1B63EAE2" w14:textId="77777777" w:rsidR="00840586" w:rsidRPr="002A1C7C" w:rsidRDefault="00840586" w:rsidP="002A1C7C">
            <w:pPr>
              <w:pStyle w:val="Table-Body-leftaligned"/>
              <w:rPr>
                <w:b w:val="0"/>
              </w:rPr>
            </w:pPr>
            <w:r w:rsidRPr="00584811">
              <w:t>Active Carbon</w:t>
            </w:r>
          </w:p>
        </w:tc>
        <w:tc>
          <w:tcPr>
            <w:tcW w:w="3354" w:type="dxa"/>
          </w:tcPr>
          <w:p w14:paraId="6336984C"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5.47</w:t>
            </w:r>
          </w:p>
        </w:tc>
        <w:tc>
          <w:tcPr>
            <w:tcW w:w="3385" w:type="dxa"/>
          </w:tcPr>
          <w:p w14:paraId="407D7E4A"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3</w:t>
            </w:r>
          </w:p>
        </w:tc>
      </w:tr>
      <w:tr w:rsidR="00840586" w:rsidRPr="00EB1D71" w14:paraId="1A0EFB6F" w14:textId="77777777" w:rsidTr="00F20770">
        <w:tc>
          <w:tcPr>
            <w:cnfStyle w:val="001000000000" w:firstRow="0" w:lastRow="0" w:firstColumn="1" w:lastColumn="0" w:oddVBand="0" w:evenVBand="0" w:oddHBand="0" w:evenHBand="0" w:firstRowFirstColumn="0" w:firstRowLastColumn="0" w:lastRowFirstColumn="0" w:lastRowLastColumn="0"/>
            <w:tcW w:w="2889" w:type="dxa"/>
          </w:tcPr>
          <w:p w14:paraId="4C4D7A44" w14:textId="77777777" w:rsidR="00840586" w:rsidRPr="002A1C7C" w:rsidRDefault="00840586" w:rsidP="002A1C7C">
            <w:pPr>
              <w:pStyle w:val="Table-Body-leftaligned"/>
              <w:rPr>
                <w:b w:val="0"/>
              </w:rPr>
            </w:pPr>
            <w:r w:rsidRPr="00584811">
              <w:t>PMN</w:t>
            </w:r>
          </w:p>
        </w:tc>
        <w:tc>
          <w:tcPr>
            <w:tcW w:w="3354" w:type="dxa"/>
          </w:tcPr>
          <w:p w14:paraId="535856C6"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5.13</w:t>
            </w:r>
          </w:p>
        </w:tc>
        <w:tc>
          <w:tcPr>
            <w:tcW w:w="3385" w:type="dxa"/>
          </w:tcPr>
          <w:p w14:paraId="7F05BC1F" w14:textId="77777777" w:rsidR="00840586" w:rsidRPr="003B3662" w:rsidRDefault="00840586" w:rsidP="002A1C7C">
            <w:pPr>
              <w:pStyle w:val="Table-Body-leftaligned"/>
              <w:jc w:val="center"/>
              <w:cnfStyle w:val="000000000000" w:firstRow="0" w:lastRow="0" w:firstColumn="0" w:lastColumn="0" w:oddVBand="0" w:evenVBand="0" w:oddHBand="0" w:evenHBand="0" w:firstRowFirstColumn="0" w:firstRowLastColumn="0" w:lastRowFirstColumn="0" w:lastRowLastColumn="0"/>
              <w:rPr>
                <w:bCs/>
              </w:rPr>
            </w:pPr>
            <w:r w:rsidRPr="003B3662">
              <w:rPr>
                <w:bCs/>
              </w:rPr>
              <w:t>4</w:t>
            </w:r>
          </w:p>
        </w:tc>
      </w:tr>
    </w:tbl>
    <w:p w14:paraId="193301C5" w14:textId="3C16A425" w:rsidR="00840586" w:rsidRPr="002A1C7C" w:rsidRDefault="00840586" w:rsidP="00F20770">
      <w:pPr>
        <w:pStyle w:val="Heading3"/>
        <w:rPr>
          <w:rFonts w:asciiTheme="minorHAnsi" w:hAnsiTheme="minorHAnsi" w:cstheme="minorHAnsi"/>
          <w:color w:val="006197" w:themeColor="text1" w:themeShade="BF"/>
        </w:rPr>
      </w:pPr>
      <w:bookmarkStart w:id="77" w:name="_Stakeholder_workshop_outcomes"/>
      <w:bookmarkStart w:id="78" w:name="_Toc228622093"/>
      <w:bookmarkStart w:id="79" w:name="_Toc234580970"/>
      <w:bookmarkEnd w:id="77"/>
      <w:r w:rsidRPr="002A1C7C">
        <w:rPr>
          <w:rFonts w:asciiTheme="minorHAnsi" w:hAnsiTheme="minorHAnsi" w:cstheme="minorHAnsi"/>
          <w:color w:val="006197" w:themeColor="text1" w:themeShade="BF"/>
        </w:rPr>
        <w:t>Stakeholder workshop outcomes</w:t>
      </w:r>
      <w:bookmarkEnd w:id="78"/>
      <w:bookmarkEnd w:id="79"/>
    </w:p>
    <w:p w14:paraId="29F30D62" w14:textId="77777777" w:rsidR="00F20770" w:rsidRPr="002A1C7C" w:rsidRDefault="00F20770" w:rsidP="00F20770">
      <w:pPr>
        <w:pStyle w:val="Heading4"/>
        <w:rPr>
          <w:rFonts w:asciiTheme="minorHAnsi" w:hAnsiTheme="minorHAnsi" w:cstheme="minorHAnsi"/>
          <w:color w:val="006197" w:themeColor="text1" w:themeShade="BF"/>
        </w:rPr>
      </w:pPr>
      <w:bookmarkStart w:id="80" w:name="_Toc228622094"/>
      <w:r w:rsidRPr="002A1C7C">
        <w:rPr>
          <w:rFonts w:asciiTheme="minorHAnsi" w:hAnsiTheme="minorHAnsi" w:cstheme="minorHAnsi"/>
          <w:color w:val="006197" w:themeColor="text1" w:themeShade="BF"/>
        </w:rPr>
        <w:t>Participants</w:t>
      </w:r>
      <w:bookmarkEnd w:id="80"/>
    </w:p>
    <w:p w14:paraId="6C553075" w14:textId="77777777" w:rsidR="00F20770" w:rsidRPr="00EB1D71" w:rsidRDefault="00F20770" w:rsidP="00D64F79">
      <w:pPr>
        <w:rPr>
          <w:rFonts w:asciiTheme="minorHAnsi" w:hAnsiTheme="minorHAnsi" w:cstheme="minorHAnsi"/>
        </w:rPr>
      </w:pPr>
      <w:r w:rsidRPr="00EB1D71">
        <w:rPr>
          <w:rFonts w:asciiTheme="minorHAnsi" w:hAnsiTheme="minorHAnsi" w:cstheme="minorHAnsi"/>
        </w:rPr>
        <w:t xml:space="preserve">In total 66 people registered for the workshops with 46 of these identifying as farmers, 15 advisors, and 5 who reported they were “both”. Registrants were predominantly from Great Britain (49) with the remainder from Europe, Africa and Central America. </w:t>
      </w:r>
    </w:p>
    <w:p w14:paraId="3C1EDEFD" w14:textId="77777777" w:rsidR="00F20770" w:rsidRPr="00EB1D71" w:rsidRDefault="00F20770" w:rsidP="00D64F79">
      <w:pPr>
        <w:rPr>
          <w:rFonts w:asciiTheme="minorHAnsi" w:hAnsiTheme="minorHAnsi" w:cstheme="minorHAnsi"/>
        </w:rPr>
      </w:pPr>
      <w:r w:rsidRPr="00EB1D71">
        <w:rPr>
          <w:rFonts w:asciiTheme="minorHAnsi" w:hAnsiTheme="minorHAnsi" w:cstheme="minorHAnsi"/>
        </w:rPr>
        <w:t xml:space="preserve">Participants had been assured of their anonymity, so it was not possible to track who attended or actively contributed to the Menti surveys and Padlet discussions. However, a total of 118 posts during the first breakout sessions in total between the two workshops was documented, and similarly 74 posts were recorded between the two workshops for the second breakout session. For the Menti voting, a total of 21-23 people voted on the final set of indicators (note that not all participants found it easy to interact with the various platforms used during the workshop). </w:t>
      </w:r>
    </w:p>
    <w:p w14:paraId="240DEF2D" w14:textId="77777777" w:rsidR="00F20770" w:rsidRPr="002A1C7C" w:rsidRDefault="00F20770" w:rsidP="00F20770">
      <w:pPr>
        <w:pStyle w:val="Heading4"/>
        <w:rPr>
          <w:rFonts w:asciiTheme="minorHAnsi" w:hAnsiTheme="minorHAnsi" w:cstheme="minorHAnsi"/>
          <w:color w:val="006197" w:themeColor="text1" w:themeShade="BF"/>
        </w:rPr>
      </w:pPr>
      <w:bookmarkStart w:id="81" w:name="_Toc228622095"/>
      <w:r w:rsidRPr="002A1C7C">
        <w:rPr>
          <w:rFonts w:asciiTheme="minorHAnsi" w:hAnsiTheme="minorHAnsi" w:cstheme="minorHAnsi"/>
          <w:color w:val="006197" w:themeColor="text1" w:themeShade="BF"/>
        </w:rPr>
        <w:t>Attitudes towards soil health and indicators</w:t>
      </w:r>
      <w:bookmarkEnd w:id="81"/>
    </w:p>
    <w:p w14:paraId="459D5A7A" w14:textId="4C24FA23" w:rsidR="00F20770" w:rsidRPr="00EB1D71" w:rsidRDefault="00F20770" w:rsidP="00D64F79">
      <w:pPr>
        <w:rPr>
          <w:rFonts w:asciiTheme="minorHAnsi" w:hAnsiTheme="minorHAnsi" w:cstheme="minorHAnsi"/>
        </w:rPr>
      </w:pPr>
      <w:r w:rsidRPr="00EB1D71">
        <w:rPr>
          <w:rFonts w:asciiTheme="minorHAnsi" w:hAnsiTheme="minorHAnsi" w:cstheme="minorHAnsi"/>
        </w:rPr>
        <w:t xml:space="preserve">The outcomes of the initial discussions and interactive activities (Menti questions and breakout sessions; </w:t>
      </w:r>
      <w:r w:rsidRPr="00EB1D71">
        <w:rPr>
          <w:rStyle w:val="TableHyperlink"/>
          <w:rFonts w:asciiTheme="minorHAnsi" w:hAnsiTheme="minorHAnsi" w:cstheme="minorHAnsi"/>
        </w:rPr>
        <w:fldChar w:fldCharType="begin"/>
      </w:r>
      <w:r w:rsidRPr="00EB1D71">
        <w:rPr>
          <w:rStyle w:val="TableHyperlink"/>
          <w:rFonts w:asciiTheme="minorHAnsi" w:hAnsiTheme="minorHAnsi" w:cstheme="minorHAnsi"/>
        </w:rPr>
        <w:instrText xml:space="preserve"> REF _Ref229652715 \h </w:instrText>
      </w:r>
      <w:r w:rsidR="00E522A8" w:rsidRPr="00EB1D71">
        <w:rPr>
          <w:rStyle w:val="TableHyperlink"/>
          <w:rFonts w:asciiTheme="minorHAnsi" w:hAnsiTheme="minorHAnsi" w:cstheme="minorHAnsi"/>
        </w:rPr>
        <w:instrText xml:space="preserve"> \* MERGEFORMAT </w:instrText>
      </w:r>
      <w:r w:rsidRPr="00EB1D71">
        <w:rPr>
          <w:rStyle w:val="TableHyperlink"/>
          <w:rFonts w:asciiTheme="minorHAnsi" w:hAnsiTheme="minorHAnsi" w:cstheme="minorHAnsi"/>
        </w:rPr>
      </w:r>
      <w:r w:rsidRPr="00EB1D71">
        <w:rPr>
          <w:rStyle w:val="TableHyperlink"/>
          <w:rFonts w:asciiTheme="minorHAnsi" w:hAnsiTheme="minorHAnsi" w:cstheme="minorHAnsi"/>
        </w:rPr>
        <w:fldChar w:fldCharType="separate"/>
      </w:r>
      <w:r w:rsidRPr="00EB1D71">
        <w:rPr>
          <w:rStyle w:val="TableHyperlink"/>
          <w:rFonts w:asciiTheme="minorHAnsi" w:hAnsiTheme="minorHAnsi" w:cstheme="minorHAnsi"/>
        </w:rPr>
        <w:t>Figure 6</w:t>
      </w:r>
      <w:r w:rsidRPr="00EB1D71">
        <w:rPr>
          <w:rStyle w:val="TableHyperlink"/>
          <w:rFonts w:asciiTheme="minorHAnsi" w:hAnsiTheme="minorHAnsi" w:cstheme="minorHAnsi"/>
        </w:rPr>
        <w:fldChar w:fldCharType="end"/>
      </w:r>
      <w:r w:rsidRPr="00EB1D71">
        <w:rPr>
          <w:rFonts w:asciiTheme="minorHAnsi" w:hAnsiTheme="minorHAnsi" w:cstheme="minorHAnsi"/>
        </w:rPr>
        <w:t xml:space="preserve">) demonstrated that the participants were familiar with soil health measurements and appreciated the importance of soil health for delivering multiple benefits for their farm and wider society. The initial word clouds on commonly used measures of soil health highlighted Visual Evaluation of Soil Structure (VESS), earthworm counts and soil organic matter as well as pH, crop rooting and bulk density. This illustrates that participants were comfortable with a mixture of laboratory measures and farmer/advisor-led techniques for evaluating soil health. </w:t>
      </w:r>
    </w:p>
    <w:p w14:paraId="7FE4B0BA" w14:textId="111B6B7F" w:rsidR="00F20770" w:rsidRPr="00EB1D71" w:rsidRDefault="00F20770" w:rsidP="00E34291">
      <w:pPr>
        <w:pStyle w:val="Caption"/>
        <w:keepNext/>
        <w:rPr>
          <w:rFonts w:asciiTheme="minorHAnsi" w:hAnsiTheme="minorHAnsi" w:cstheme="minorHAnsi"/>
        </w:rPr>
      </w:pPr>
      <w:bookmarkStart w:id="82" w:name="_Ref229652715"/>
      <w:bookmarkStart w:id="83" w:name="_Toc228622130"/>
      <w:r w:rsidRPr="00EB1D71">
        <w:rPr>
          <w:rFonts w:asciiTheme="minorHAnsi" w:hAnsiTheme="minorHAnsi" w:cstheme="minorHAnsi"/>
        </w:rPr>
        <w:lastRenderedPageBreak/>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6</w:t>
      </w:r>
      <w:r w:rsidR="007D3945">
        <w:rPr>
          <w:rFonts w:asciiTheme="minorHAnsi" w:hAnsiTheme="minorHAnsi" w:cstheme="minorHAnsi"/>
        </w:rPr>
        <w:fldChar w:fldCharType="end"/>
      </w:r>
      <w:bookmarkEnd w:id="82"/>
      <w:r w:rsidRPr="00EB1D71">
        <w:rPr>
          <w:rFonts w:asciiTheme="minorHAnsi" w:hAnsiTheme="minorHAnsi" w:cstheme="minorHAnsi"/>
        </w:rPr>
        <w:t xml:space="preserve">. Word cloud summarising </w:t>
      </w:r>
      <w:proofErr w:type="gramStart"/>
      <w:r w:rsidRPr="00EB1D71">
        <w:rPr>
          <w:rFonts w:asciiTheme="minorHAnsi" w:hAnsiTheme="minorHAnsi" w:cstheme="minorHAnsi"/>
        </w:rPr>
        <w:t>most commonly used</w:t>
      </w:r>
      <w:proofErr w:type="gramEnd"/>
      <w:r w:rsidRPr="00EB1D71">
        <w:rPr>
          <w:rFonts w:asciiTheme="minorHAnsi" w:hAnsiTheme="minorHAnsi" w:cstheme="minorHAnsi"/>
        </w:rPr>
        <w:t xml:space="preserve"> soil health tests among stakeholder workshop participants, with a) derived from workshop 1, and b) derived from workshop 2</w:t>
      </w:r>
      <w:bookmarkEnd w:id="83"/>
    </w:p>
    <w:p w14:paraId="1E7E50D9" w14:textId="3B4AFE86" w:rsidR="00FE2E5D" w:rsidRPr="00EB1D71" w:rsidRDefault="00F20770">
      <w:pPr>
        <w:spacing w:line="278" w:lineRule="auto"/>
        <w:rPr>
          <w:rFonts w:asciiTheme="minorHAnsi" w:hAnsiTheme="minorHAnsi" w:cstheme="minorHAnsi"/>
        </w:rPr>
      </w:pPr>
      <w:r w:rsidRPr="00EB1D71">
        <w:rPr>
          <w:rFonts w:asciiTheme="minorHAnsi" w:hAnsiTheme="minorHAnsi" w:cstheme="minorHAnsi"/>
          <w:noProof/>
        </w:rPr>
        <w:drawing>
          <wp:inline distT="0" distB="0" distL="0" distR="0" wp14:anchorId="47132502" wp14:editId="40EEB2F1">
            <wp:extent cx="5759450" cy="4210530"/>
            <wp:effectExtent l="19050" t="19050" r="12700" b="19050"/>
            <wp:docPr id="1962538538" name="Picture 1" descr="Two word clouds compare the most commonly used soil health tests reported in two stakeholder workshops, with part a) emphasizing &quot;vess&quot;, &quot;earthworm count&quot;, &quot;pH&quot;, &quot;organic matter&quot; and &quot;SOM&quot; and part b) highlighting &quot;SOM&quot;, &quot;rooting depth&quot;, &quot;vess&quot;, &quot;bulk density&quot;, &quot;smell&quot; and &quot;worm cou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38538" name="Picture 1" descr="Two word clouds compare the most commonly used soil health tests reported in two stakeholder workshops, with part a) emphasizing &quot;vess&quot;, &quot;earthworm count&quot;, &quot;pH&quot;, &quot;organic matter&quot; and &quot;SOM&quot; and part b) highlighting &quot;SOM&quot;, &quot;rooting depth&quot;, &quot;vess&quot;, &quot;bulk density&quot;, &quot;smell&quot; and &quot;worm count&quot;."/>
                    <pic:cNvPicPr/>
                  </pic:nvPicPr>
                  <pic:blipFill>
                    <a:blip r:embed="rId42"/>
                    <a:stretch>
                      <a:fillRect/>
                    </a:stretch>
                  </pic:blipFill>
                  <pic:spPr>
                    <a:xfrm>
                      <a:off x="0" y="0"/>
                      <a:ext cx="5759450" cy="4210530"/>
                    </a:xfrm>
                    <a:prstGeom prst="rect">
                      <a:avLst/>
                    </a:prstGeom>
                    <a:ln>
                      <a:solidFill>
                        <a:schemeClr val="bg1">
                          <a:lumMod val="85000"/>
                        </a:schemeClr>
                      </a:solidFill>
                    </a:ln>
                  </pic:spPr>
                </pic:pic>
              </a:graphicData>
            </a:graphic>
          </wp:inline>
        </w:drawing>
      </w:r>
    </w:p>
    <w:p w14:paraId="69F8B958" w14:textId="77777777" w:rsidR="00963005" w:rsidRDefault="00963005" w:rsidP="00D64F79">
      <w:pPr>
        <w:rPr>
          <w:rFonts w:asciiTheme="minorHAnsi" w:hAnsiTheme="minorHAnsi" w:cstheme="minorHAnsi"/>
        </w:rPr>
      </w:pPr>
    </w:p>
    <w:p w14:paraId="04D2F341" w14:textId="4D5250F6" w:rsidR="00E34291" w:rsidRPr="00EB1D71" w:rsidRDefault="00E34291" w:rsidP="00D64F79">
      <w:pPr>
        <w:rPr>
          <w:rFonts w:asciiTheme="minorHAnsi" w:hAnsiTheme="minorHAnsi" w:cstheme="minorHAnsi"/>
        </w:rPr>
      </w:pPr>
      <w:r w:rsidRPr="00EB1D71">
        <w:rPr>
          <w:rFonts w:asciiTheme="minorHAnsi" w:hAnsiTheme="minorHAnsi" w:cstheme="minorHAnsi"/>
        </w:rPr>
        <w:t>The breakout rooms and guided discussions with thoughts shared on the whiteboards were an effective way to anonymously and efficiently gather information on stakeholder views. The AI summaries of whiteboard posts for both workshops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_Ref226108235 \h </w:instrText>
      </w:r>
      <w:r w:rsidR="00AB0486"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16</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confirmed the Menti survey findings: participants were knowledgeable about measuring soil health and recognised the importance of maintaining soil health to underpin farm productivity, profit and long-term viability. The prioritisation of financial arguments for maintaining soil health is notable in these responses. The AI summary of question 2 (most important factors when choosing a soil health test) confirmed the team’s initial reaction following the workshop: participant opinions diverged between those who were enthusiastic and motivated to use farmer-led methods (e.g. Slake testing, which came up repeatedly in the discussions) and those who wanted a more detailed evaluation of soil biological properties that would only be possible using more advanced laboratory analyses.</w:t>
      </w:r>
    </w:p>
    <w:p w14:paraId="6E2C1AB4" w14:textId="1B3F657F" w:rsidR="00F041A1" w:rsidRPr="00EB1D71" w:rsidRDefault="00F041A1" w:rsidP="00F041A1">
      <w:pPr>
        <w:pStyle w:val="Caption"/>
        <w:keepNext/>
        <w:spacing w:after="0"/>
        <w:rPr>
          <w:rFonts w:asciiTheme="minorHAnsi" w:hAnsiTheme="minorHAnsi" w:cstheme="minorHAnsi"/>
        </w:rPr>
      </w:pPr>
      <w:bookmarkStart w:id="84" w:name="_Ref226108235"/>
      <w:bookmarkStart w:id="85" w:name="_Toc228622122"/>
      <w:r w:rsidRPr="00EB1D71">
        <w:rPr>
          <w:rFonts w:asciiTheme="minorHAnsi" w:hAnsiTheme="minorHAnsi" w:cstheme="minorHAnsi"/>
        </w:rPr>
        <w:t xml:space="preserve">Table </w:t>
      </w:r>
      <w:r w:rsidR="009A568B" w:rsidRPr="00EB1D71">
        <w:rPr>
          <w:rFonts w:asciiTheme="minorHAnsi" w:hAnsiTheme="minorHAnsi" w:cstheme="minorHAnsi"/>
        </w:rPr>
        <w:fldChar w:fldCharType="begin"/>
      </w:r>
      <w:r w:rsidR="009A568B" w:rsidRPr="00EB1D71">
        <w:rPr>
          <w:rFonts w:asciiTheme="minorHAnsi" w:hAnsiTheme="minorHAnsi" w:cstheme="minorHAnsi"/>
        </w:rPr>
        <w:instrText xml:space="preserve"> SEQ Table \* ARABIC </w:instrText>
      </w:r>
      <w:r w:rsidR="009A568B" w:rsidRPr="00EB1D71">
        <w:rPr>
          <w:rFonts w:asciiTheme="minorHAnsi" w:hAnsiTheme="minorHAnsi" w:cstheme="minorHAnsi"/>
        </w:rPr>
        <w:fldChar w:fldCharType="separate"/>
      </w:r>
      <w:r w:rsidR="00C400DA">
        <w:rPr>
          <w:rFonts w:asciiTheme="minorHAnsi" w:hAnsiTheme="minorHAnsi" w:cstheme="minorHAnsi"/>
          <w:noProof/>
        </w:rPr>
        <w:t>16</w:t>
      </w:r>
      <w:r w:rsidR="009A568B" w:rsidRPr="00EB1D71">
        <w:rPr>
          <w:rFonts w:asciiTheme="minorHAnsi" w:hAnsiTheme="minorHAnsi" w:cstheme="minorHAnsi"/>
          <w:noProof/>
        </w:rPr>
        <w:fldChar w:fldCharType="end"/>
      </w:r>
      <w:bookmarkEnd w:id="84"/>
      <w:r w:rsidRPr="00EB1D71">
        <w:rPr>
          <w:rFonts w:asciiTheme="minorHAnsi" w:hAnsiTheme="minorHAnsi" w:cstheme="minorHAnsi"/>
          <w:noProof/>
        </w:rPr>
        <w:t>.</w:t>
      </w:r>
      <w:r w:rsidRPr="00EB1D71">
        <w:rPr>
          <w:rFonts w:asciiTheme="minorHAnsi" w:hAnsiTheme="minorHAnsi" w:cstheme="minorHAnsi"/>
        </w:rPr>
        <w:t xml:space="preserve"> AI summary of whiteboard responses to four questions about soil health from the stakeholder workshop on early indicators to monitor changes in soil health</w:t>
      </w:r>
      <w:bookmarkEnd w:id="85"/>
    </w:p>
    <w:tbl>
      <w:tblPr>
        <w:tblStyle w:val="TableGrid"/>
        <w:tblW w:w="5000" w:type="pct"/>
        <w:tblLook w:val="04A0" w:firstRow="1" w:lastRow="0" w:firstColumn="1" w:lastColumn="0" w:noHBand="0" w:noVBand="1"/>
      </w:tblPr>
      <w:tblGrid>
        <w:gridCol w:w="1802"/>
        <w:gridCol w:w="7826"/>
      </w:tblGrid>
      <w:tr w:rsidR="00F041A1" w:rsidRPr="00EB1D71" w14:paraId="13718C5B" w14:textId="77777777" w:rsidTr="00F041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tcPr>
          <w:p w14:paraId="7CE52BF0" w14:textId="00618C2C" w:rsidR="00F041A1" w:rsidRPr="00B22117" w:rsidRDefault="00F041A1" w:rsidP="00AE2A6A">
            <w:pPr>
              <w:pStyle w:val="TableHeading-centred-bold"/>
            </w:pPr>
            <w:r w:rsidRPr="00AE2A6A">
              <w:rPr>
                <w:b/>
              </w:rPr>
              <w:t>Question</w:t>
            </w:r>
          </w:p>
        </w:tc>
        <w:tc>
          <w:tcPr>
            <w:tcW w:w="4064" w:type="pct"/>
          </w:tcPr>
          <w:p w14:paraId="7ED383BB" w14:textId="255E7209" w:rsidR="00F041A1" w:rsidRPr="00B22117" w:rsidRDefault="00F041A1" w:rsidP="00AE2A6A">
            <w:pPr>
              <w:pStyle w:val="TableHeading-centred-bold"/>
              <w:cnfStyle w:val="100000000000" w:firstRow="1" w:lastRow="0" w:firstColumn="0" w:lastColumn="0" w:oddVBand="0" w:evenVBand="0" w:oddHBand="0" w:evenHBand="0" w:firstRowFirstColumn="0" w:firstRowLastColumn="0" w:lastRowFirstColumn="0" w:lastRowLastColumn="0"/>
            </w:pPr>
            <w:r w:rsidRPr="00AE2A6A">
              <w:rPr>
                <w:b/>
              </w:rPr>
              <w:t>AI summary of whiteboard responses</w:t>
            </w:r>
          </w:p>
        </w:tc>
      </w:tr>
      <w:tr w:rsidR="00F041A1" w:rsidRPr="00EB1D71" w14:paraId="2D81E1C2" w14:textId="77777777" w:rsidTr="00F041A1">
        <w:tc>
          <w:tcPr>
            <w:cnfStyle w:val="001000000000" w:firstRow="0" w:lastRow="0" w:firstColumn="1" w:lastColumn="0" w:oddVBand="0" w:evenVBand="0" w:oddHBand="0" w:evenHBand="0" w:firstRowFirstColumn="0" w:firstRowLastColumn="0" w:lastRowFirstColumn="0" w:lastRowLastColumn="0"/>
            <w:tcW w:w="936" w:type="pct"/>
          </w:tcPr>
          <w:p w14:paraId="2EFADE71" w14:textId="6F56D4C0" w:rsidR="00F041A1" w:rsidRPr="00AE2A6A" w:rsidRDefault="00F041A1" w:rsidP="00AE2A6A">
            <w:pPr>
              <w:pStyle w:val="Table-Body-leftaligned"/>
              <w:rPr>
                <w:b w:val="0"/>
                <w:bCs/>
              </w:rPr>
            </w:pPr>
            <w:r w:rsidRPr="00584811">
              <w:rPr>
                <w:bCs/>
              </w:rPr>
              <w:t>Why is it important to measure soil health?</w:t>
            </w:r>
          </w:p>
          <w:p w14:paraId="0622366F" w14:textId="77777777" w:rsidR="00F041A1" w:rsidRPr="00AE2A6A" w:rsidRDefault="00F041A1" w:rsidP="00AE2A6A">
            <w:pPr>
              <w:pStyle w:val="Table-Body-leftaligned"/>
              <w:rPr>
                <w:b w:val="0"/>
                <w:bCs/>
              </w:rPr>
            </w:pPr>
          </w:p>
        </w:tc>
        <w:tc>
          <w:tcPr>
            <w:tcW w:w="4064" w:type="pct"/>
          </w:tcPr>
          <w:p w14:paraId="698EFCB7" w14:textId="353A8298" w:rsidR="00F041A1" w:rsidRPr="00AE2A6A" w:rsidRDefault="00F041A1" w:rsidP="00AE2A6A">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Participants consistently viewed soil as the farm’s most important asset and emphasised measuring soil health to understand the impacts of management decisions, establish baselines, and monitor change over time. Measurement was seen as key to improving soil function, productivity, and resilience, particularly under increasing climate variability. Several noted the importance of repeat testing and benchmarking. A minority highlighted that measurement is only useful if results are interpretable and actionable. There was also some emphasis on compliance (e.g. SFI), though most responses focused on decision-making, proactive management, and building long-term farm resilience.</w:t>
            </w:r>
          </w:p>
        </w:tc>
      </w:tr>
      <w:tr w:rsidR="00F041A1" w:rsidRPr="00EB1D71" w14:paraId="6A2E6DD2" w14:textId="77777777" w:rsidTr="00F041A1">
        <w:tc>
          <w:tcPr>
            <w:cnfStyle w:val="001000000000" w:firstRow="0" w:lastRow="0" w:firstColumn="1" w:lastColumn="0" w:oddVBand="0" w:evenVBand="0" w:oddHBand="0" w:evenHBand="0" w:firstRowFirstColumn="0" w:firstRowLastColumn="0" w:lastRowFirstColumn="0" w:lastRowLastColumn="0"/>
            <w:tcW w:w="936" w:type="pct"/>
          </w:tcPr>
          <w:p w14:paraId="3F65CC76" w14:textId="28635191" w:rsidR="00F041A1" w:rsidRPr="00AE2A6A" w:rsidRDefault="00F041A1" w:rsidP="00AE2A6A">
            <w:pPr>
              <w:pStyle w:val="Table-Body-leftaligned"/>
              <w:rPr>
                <w:b w:val="0"/>
                <w:bCs/>
              </w:rPr>
            </w:pPr>
            <w:r w:rsidRPr="00584811">
              <w:rPr>
                <w:bCs/>
              </w:rPr>
              <w:lastRenderedPageBreak/>
              <w:t>What factors are most important when choosing a soil health test?</w:t>
            </w:r>
          </w:p>
          <w:p w14:paraId="7278D596" w14:textId="77777777" w:rsidR="00F041A1" w:rsidRPr="00AE2A6A" w:rsidRDefault="00F041A1" w:rsidP="00AE2A6A">
            <w:pPr>
              <w:pStyle w:val="Table-Body-leftaligned"/>
              <w:rPr>
                <w:b w:val="0"/>
                <w:bCs/>
              </w:rPr>
            </w:pPr>
          </w:p>
        </w:tc>
        <w:tc>
          <w:tcPr>
            <w:tcW w:w="4064" w:type="pct"/>
          </w:tcPr>
          <w:p w14:paraId="0ED05A8C" w14:textId="77777777" w:rsidR="00F041A1" w:rsidRPr="00FC2222" w:rsidRDefault="00F041A1" w:rsidP="00AE2A6A">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Cost, ease of use, and clear interpretation were the most frequently cited factors. Participants emphasised the need for tests that are practical, repeatable, and accessible to farmers, with rapid feedback and relevance to management decisions. Many stressed the importance of a clear link to soil function and actionable outcomes. There was strong interest in combining biological, chemical and physical indicators to provide a complete picture. Some participants prioritised biological assessments, while others favoured visual or on-farm methods. A key divergence was between interest in advanced scientific tests and the need for simple, farmer-friendly approaches.</w:t>
            </w:r>
          </w:p>
        </w:tc>
      </w:tr>
      <w:tr w:rsidR="00F041A1" w:rsidRPr="00EB1D71" w14:paraId="64E2B1C7" w14:textId="77777777" w:rsidTr="00F041A1">
        <w:tc>
          <w:tcPr>
            <w:cnfStyle w:val="001000000000" w:firstRow="0" w:lastRow="0" w:firstColumn="1" w:lastColumn="0" w:oddVBand="0" w:evenVBand="0" w:oddHBand="0" w:evenHBand="0" w:firstRowFirstColumn="0" w:firstRowLastColumn="0" w:lastRowFirstColumn="0" w:lastRowLastColumn="0"/>
            <w:tcW w:w="936" w:type="pct"/>
          </w:tcPr>
          <w:p w14:paraId="642CD7E4" w14:textId="60249DCD" w:rsidR="00F041A1" w:rsidRPr="00AE2A6A" w:rsidRDefault="00F041A1" w:rsidP="00AE2A6A">
            <w:pPr>
              <w:pStyle w:val="Table-Body-leftaligned"/>
              <w:rPr>
                <w:b w:val="0"/>
                <w:bCs/>
              </w:rPr>
            </w:pPr>
            <w:r w:rsidRPr="00584811">
              <w:rPr>
                <w:bCs/>
              </w:rPr>
              <w:t>What are the benefits of good soil health for the farm?</w:t>
            </w:r>
          </w:p>
          <w:p w14:paraId="4B0862BB" w14:textId="77777777" w:rsidR="00F041A1" w:rsidRPr="00AE2A6A" w:rsidRDefault="00F041A1" w:rsidP="00AE2A6A">
            <w:pPr>
              <w:pStyle w:val="Table-Body-leftaligned"/>
              <w:rPr>
                <w:b w:val="0"/>
                <w:bCs/>
              </w:rPr>
            </w:pPr>
          </w:p>
        </w:tc>
        <w:tc>
          <w:tcPr>
            <w:tcW w:w="4064" w:type="pct"/>
          </w:tcPr>
          <w:p w14:paraId="090A22B8" w14:textId="77777777" w:rsidR="00F041A1" w:rsidRPr="00FC2222" w:rsidRDefault="00F041A1" w:rsidP="00AE2A6A">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There was strong consensus that good soil health underpins productivity, profitability, and resilience. Benefits included improved crop and grass growth, livestock performance, nutrient cycling, and reduced reliance on external inputs. Many highlighted reduced risks (financial, operational, climatic) and improved resilience to drought and extreme weather. Soil health was also linked to better soil structure, reduced compaction, and long-term sustainability of the farm business. Some participants placed particular emphasis on soil biology as the driver of these benefits. Overall, soil health was seen as fundamental to farm performance and long-term viability.</w:t>
            </w:r>
          </w:p>
        </w:tc>
      </w:tr>
      <w:tr w:rsidR="00F041A1" w:rsidRPr="00EB1D71" w14:paraId="57E56C72" w14:textId="77777777" w:rsidTr="00F041A1">
        <w:tc>
          <w:tcPr>
            <w:cnfStyle w:val="001000000000" w:firstRow="0" w:lastRow="0" w:firstColumn="1" w:lastColumn="0" w:oddVBand="0" w:evenVBand="0" w:oddHBand="0" w:evenHBand="0" w:firstRowFirstColumn="0" w:firstRowLastColumn="0" w:lastRowFirstColumn="0" w:lastRowLastColumn="0"/>
            <w:tcW w:w="936" w:type="pct"/>
          </w:tcPr>
          <w:p w14:paraId="554BBC7C" w14:textId="3904E746" w:rsidR="00F041A1" w:rsidRPr="00AE2A6A" w:rsidRDefault="00F041A1" w:rsidP="00AE2A6A">
            <w:pPr>
              <w:pStyle w:val="Table-Body-leftaligned"/>
              <w:rPr>
                <w:b w:val="0"/>
                <w:bCs/>
              </w:rPr>
            </w:pPr>
            <w:r w:rsidRPr="00584811">
              <w:rPr>
                <w:bCs/>
              </w:rPr>
              <w:t>What are the benefits of good soil health for wider society?</w:t>
            </w:r>
          </w:p>
          <w:p w14:paraId="524F3296" w14:textId="77777777" w:rsidR="00F041A1" w:rsidRPr="00AE2A6A" w:rsidRDefault="00F041A1" w:rsidP="00AE2A6A">
            <w:pPr>
              <w:pStyle w:val="Table-Body-leftaligned"/>
              <w:rPr>
                <w:b w:val="0"/>
                <w:bCs/>
              </w:rPr>
            </w:pPr>
          </w:p>
        </w:tc>
        <w:tc>
          <w:tcPr>
            <w:tcW w:w="4064" w:type="pct"/>
          </w:tcPr>
          <w:p w14:paraId="716557C7" w14:textId="77777777" w:rsidR="00F041A1" w:rsidRPr="00FC2222" w:rsidRDefault="00F041A1" w:rsidP="00AE2A6A">
            <w:pPr>
              <w:pStyle w:val="Table-Body-leftaligned"/>
              <w:cnfStyle w:val="000000000000" w:firstRow="0" w:lastRow="0" w:firstColumn="0" w:lastColumn="0" w:oddVBand="0" w:evenVBand="0" w:oddHBand="0" w:evenHBand="0" w:firstRowFirstColumn="0" w:firstRowLastColumn="0" w:lastRowFirstColumn="0" w:lastRowLastColumn="0"/>
              <w:rPr>
                <w:bCs/>
              </w:rPr>
            </w:pPr>
            <w:r w:rsidRPr="00FC2222">
              <w:rPr>
                <w:bCs/>
              </w:rPr>
              <w:t>Participants highlighted a wide range of societal benefits, particularly relating to ecosystem services. These included improved water quality, reduced flooding, enhanced biodiversity, and carbon storage. Many emphasised links between soil health, food quality, and human health, including nutrient density and reduced reliance on chemical inputs. Soil was widely recognised as a finite, non-renewable resource essential for sustaining life. There was strong emphasis on environmental protection and climate resilience. Some responses were more expansive, linking soil health to public health systems and societal wellbeing, though all reflected the broad importance of soils beyond the farm.</w:t>
            </w:r>
          </w:p>
        </w:tc>
      </w:tr>
    </w:tbl>
    <w:p w14:paraId="72A525BE" w14:textId="24978405" w:rsidR="00F041A1" w:rsidRPr="00EB1D71" w:rsidRDefault="00F041A1">
      <w:pPr>
        <w:spacing w:line="278" w:lineRule="auto"/>
        <w:rPr>
          <w:rFonts w:asciiTheme="minorHAnsi" w:hAnsiTheme="minorHAnsi" w:cstheme="minorHAnsi"/>
        </w:rPr>
      </w:pPr>
    </w:p>
    <w:p w14:paraId="6BE248C8" w14:textId="77777777" w:rsidR="00F041A1" w:rsidRPr="00AE2A6A" w:rsidRDefault="00F041A1" w:rsidP="00F041A1">
      <w:pPr>
        <w:pStyle w:val="Heading4"/>
        <w:rPr>
          <w:rFonts w:asciiTheme="minorHAnsi" w:hAnsiTheme="minorHAnsi" w:cstheme="minorHAnsi"/>
          <w:color w:val="006197" w:themeColor="text1" w:themeShade="BF"/>
        </w:rPr>
      </w:pPr>
      <w:bookmarkStart w:id="86" w:name="_Toc228622096"/>
      <w:r w:rsidRPr="00AE2A6A">
        <w:rPr>
          <w:rFonts w:asciiTheme="minorHAnsi" w:hAnsiTheme="minorHAnsi" w:cstheme="minorHAnsi"/>
          <w:color w:val="006197" w:themeColor="text1" w:themeShade="BF"/>
        </w:rPr>
        <w:t>Ranking criteria for evaluating soil health indicators</w:t>
      </w:r>
      <w:r w:rsidRPr="00AE2A6A">
        <w:rPr>
          <w:rStyle w:val="FootnoteReference"/>
          <w:rFonts w:asciiTheme="minorHAnsi" w:hAnsiTheme="minorHAnsi" w:cstheme="minorHAnsi"/>
          <w:color w:val="006197" w:themeColor="text1" w:themeShade="BF"/>
        </w:rPr>
        <w:footnoteReference w:id="7"/>
      </w:r>
      <w:bookmarkEnd w:id="86"/>
    </w:p>
    <w:p w14:paraId="630F14A5" w14:textId="592305DC" w:rsidR="00F041A1" w:rsidRPr="00EB1D71" w:rsidRDefault="00F041A1" w:rsidP="00162C9E">
      <w:pPr>
        <w:rPr>
          <w:rFonts w:asciiTheme="minorHAnsi" w:hAnsiTheme="minorHAnsi" w:cstheme="minorHAnsi"/>
        </w:rPr>
      </w:pPr>
      <w:r w:rsidRPr="00EB1D71">
        <w:rPr>
          <w:rFonts w:asciiTheme="minorHAnsi" w:hAnsiTheme="minorHAnsi" w:cstheme="minorHAnsi"/>
        </w:rPr>
        <w:t>The qualitative analysis of factors most important when selecting a soil health test were complimented by the results of the Menti surveys where participants were asked to rank criteria for selecting a soil health indicator (</w:t>
      </w:r>
      <w:r w:rsidR="006329C4" w:rsidRPr="00EB1D71">
        <w:rPr>
          <w:rStyle w:val="TableHyperlink"/>
          <w:rFonts w:asciiTheme="minorHAnsi" w:hAnsiTheme="minorHAnsi" w:cstheme="minorHAnsi"/>
        </w:rPr>
        <w:fldChar w:fldCharType="begin"/>
      </w:r>
      <w:r w:rsidR="006329C4" w:rsidRPr="00EB1D71">
        <w:rPr>
          <w:rStyle w:val="TableHyperlink"/>
          <w:rFonts w:asciiTheme="minorHAnsi" w:hAnsiTheme="minorHAnsi" w:cstheme="minorHAnsi"/>
        </w:rPr>
        <w:instrText xml:space="preserve"> REF _Ref229661293 \h </w:instrText>
      </w:r>
      <w:r w:rsidR="00735BB6" w:rsidRPr="00EB1D71">
        <w:rPr>
          <w:rStyle w:val="TableHyperlink"/>
          <w:rFonts w:asciiTheme="minorHAnsi" w:hAnsiTheme="minorHAnsi" w:cstheme="minorHAnsi"/>
        </w:rPr>
        <w:instrText xml:space="preserve"> \* MERGEFORMAT </w:instrText>
      </w:r>
      <w:r w:rsidR="006329C4" w:rsidRPr="00EB1D71">
        <w:rPr>
          <w:rStyle w:val="TableHyperlink"/>
          <w:rFonts w:asciiTheme="minorHAnsi" w:hAnsiTheme="minorHAnsi" w:cstheme="minorHAnsi"/>
        </w:rPr>
      </w:r>
      <w:r w:rsidR="006329C4" w:rsidRPr="00EB1D71">
        <w:rPr>
          <w:rStyle w:val="TableHyperlink"/>
          <w:rFonts w:asciiTheme="minorHAnsi" w:hAnsiTheme="minorHAnsi" w:cstheme="minorHAnsi"/>
        </w:rPr>
        <w:fldChar w:fldCharType="separate"/>
      </w:r>
      <w:r w:rsidR="006329C4" w:rsidRPr="00EB1D71">
        <w:rPr>
          <w:rStyle w:val="TableHyperlink"/>
          <w:rFonts w:asciiTheme="minorHAnsi" w:hAnsiTheme="minorHAnsi" w:cstheme="minorHAnsi"/>
        </w:rPr>
        <w:t>Figure 7</w:t>
      </w:r>
      <w:r w:rsidR="006329C4" w:rsidRPr="00EB1D71">
        <w:rPr>
          <w:rStyle w:val="TableHyperlink"/>
          <w:rFonts w:asciiTheme="minorHAnsi" w:hAnsiTheme="minorHAnsi" w:cstheme="minorHAnsi"/>
        </w:rPr>
        <w:fldChar w:fldCharType="end"/>
      </w:r>
      <w:r w:rsidRPr="00EB1D71">
        <w:rPr>
          <w:rFonts w:asciiTheme="minorHAnsi" w:hAnsiTheme="minorHAnsi" w:cstheme="minorHAnsi"/>
        </w:rPr>
        <w:t>). Not surprisingly, a clear link to soil health was ranked most important, but ease of interpretation was highlighted as also very important, ahead of sensitivity to management change and low cost.</w:t>
      </w:r>
    </w:p>
    <w:p w14:paraId="14C5A9AC" w14:textId="6B9E4D47" w:rsidR="00F041A1" w:rsidRPr="00EB1D71" w:rsidRDefault="00F041A1" w:rsidP="00F041A1">
      <w:pPr>
        <w:pStyle w:val="Caption"/>
        <w:rPr>
          <w:rFonts w:asciiTheme="minorHAnsi" w:hAnsiTheme="minorHAnsi" w:cstheme="minorHAnsi"/>
        </w:rPr>
      </w:pPr>
      <w:bookmarkStart w:id="87" w:name="_Ref229661293"/>
      <w:bookmarkStart w:id="88" w:name="_Toc228622131"/>
      <w:r w:rsidRPr="00EB1D71">
        <w:rPr>
          <w:rFonts w:asciiTheme="minorHAnsi" w:hAnsiTheme="minorHAnsi" w:cstheme="minorHAnsi"/>
        </w:rPr>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7</w:t>
      </w:r>
      <w:r w:rsidR="007D3945">
        <w:rPr>
          <w:rFonts w:asciiTheme="minorHAnsi" w:hAnsiTheme="minorHAnsi" w:cstheme="minorHAnsi"/>
        </w:rPr>
        <w:fldChar w:fldCharType="end"/>
      </w:r>
      <w:bookmarkEnd w:id="87"/>
      <w:r w:rsidRPr="00EB1D71">
        <w:rPr>
          <w:rFonts w:asciiTheme="minorHAnsi" w:hAnsiTheme="minorHAnsi" w:cstheme="minorHAnsi"/>
        </w:rPr>
        <w:t>. Ranking of criteria from most to least important when selecting an indicator of soil health.</w:t>
      </w:r>
      <w:bookmarkEnd w:id="88"/>
    </w:p>
    <w:p w14:paraId="36861073" w14:textId="70275F61" w:rsidR="00F041A1" w:rsidRPr="00EB1D71" w:rsidRDefault="00F041A1">
      <w:pPr>
        <w:spacing w:line="278" w:lineRule="auto"/>
        <w:rPr>
          <w:rFonts w:asciiTheme="minorHAnsi" w:hAnsiTheme="minorHAnsi" w:cstheme="minorHAnsi"/>
        </w:rPr>
      </w:pPr>
      <w:r w:rsidRPr="00EB1D71">
        <w:rPr>
          <w:rFonts w:asciiTheme="minorHAnsi" w:hAnsiTheme="minorHAnsi" w:cstheme="minorHAnsi"/>
          <w:noProof/>
        </w:rPr>
        <w:drawing>
          <wp:inline distT="0" distB="0" distL="0" distR="0" wp14:anchorId="1D3FD462" wp14:editId="22DF9AC9">
            <wp:extent cx="5759450" cy="2829700"/>
            <wp:effectExtent l="0" t="0" r="0" b="8890"/>
            <wp:docPr id="690479053" name="Picture 5" descr="A horizontal bar chart showing criteria ranked by importance for soil health indicators, with strong link to soil health highest and few field samples lo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479053" name="Picture 5" descr="A horizontal bar chart showing criteria ranked by importance for soil health indicators, with strong link to soil health highest and few field samples lowest."/>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759450" cy="2829700"/>
                    </a:xfrm>
                    <a:prstGeom prst="rect">
                      <a:avLst/>
                    </a:prstGeom>
                    <a:noFill/>
                  </pic:spPr>
                </pic:pic>
              </a:graphicData>
            </a:graphic>
          </wp:inline>
        </w:drawing>
      </w:r>
      <w:r w:rsidR="003B3662">
        <w:rPr>
          <w:rFonts w:asciiTheme="minorHAnsi" w:hAnsiTheme="minorHAnsi" w:cstheme="minorHAnsi"/>
        </w:rPr>
        <w:t>I</w:t>
      </w:r>
    </w:p>
    <w:p w14:paraId="64160069" w14:textId="77777777" w:rsidR="009F1211" w:rsidRPr="009F1211" w:rsidRDefault="003B3662" w:rsidP="009F1211">
      <w:pPr>
        <w:rPr>
          <w:rFonts w:asciiTheme="minorHAnsi" w:hAnsiTheme="minorHAnsi" w:cstheme="minorHAnsi"/>
        </w:rPr>
      </w:pPr>
      <w:r>
        <w:rPr>
          <w:rFonts w:asciiTheme="minorHAnsi" w:hAnsiTheme="minorHAnsi" w:cstheme="minorHAnsi"/>
        </w:rPr>
        <w:lastRenderedPageBreak/>
        <w:t xml:space="preserve">Figure 7 </w:t>
      </w:r>
      <w:r w:rsidR="009F1211">
        <w:rPr>
          <w:rFonts w:asciiTheme="minorHAnsi" w:hAnsiTheme="minorHAnsi" w:cstheme="minorHAnsi"/>
        </w:rPr>
        <w:t xml:space="preserve">shows </w:t>
      </w:r>
      <w:r w:rsidR="009F1211" w:rsidRPr="009F1211">
        <w:rPr>
          <w:rFonts w:asciiTheme="minorHAnsi" w:hAnsiTheme="minorHAnsi" w:cstheme="minorHAnsi"/>
        </w:rPr>
        <w:t>weighted scores for six criteria, displayed as green horizontal bars.</w:t>
      </w:r>
    </w:p>
    <w:p w14:paraId="12FC348F" w14:textId="77777777" w:rsidR="009F1211" w:rsidRPr="009F1211" w:rsidRDefault="009F1211" w:rsidP="009F1211">
      <w:pPr>
        <w:rPr>
          <w:rFonts w:asciiTheme="minorHAnsi" w:hAnsiTheme="minorHAnsi" w:cstheme="minorHAnsi"/>
        </w:rPr>
      </w:pPr>
      <w:r w:rsidRPr="009F1211">
        <w:rPr>
          <w:rFonts w:asciiTheme="minorHAnsi" w:hAnsiTheme="minorHAnsi" w:cstheme="minorHAnsi"/>
        </w:rPr>
        <w:t>Criteria are ranked from highest to lowest importance:</w:t>
      </w:r>
    </w:p>
    <w:p w14:paraId="6DC958A8" w14:textId="77777777" w:rsidR="009F1211" w:rsidRPr="00073B7A" w:rsidRDefault="009F1211" w:rsidP="00073B7A">
      <w:pPr>
        <w:pStyle w:val="ListParagraph"/>
        <w:numPr>
          <w:ilvl w:val="0"/>
          <w:numId w:val="36"/>
        </w:numPr>
        <w:rPr>
          <w:rFonts w:asciiTheme="minorHAnsi" w:hAnsiTheme="minorHAnsi" w:cstheme="minorHAnsi"/>
        </w:rPr>
      </w:pPr>
      <w:r w:rsidRPr="00073B7A">
        <w:rPr>
          <w:rFonts w:asciiTheme="minorHAnsi" w:hAnsiTheme="minorHAnsi" w:cstheme="minorHAnsi"/>
        </w:rPr>
        <w:t>Clearly linked to soil health – highest score (longest bar)</w:t>
      </w:r>
    </w:p>
    <w:p w14:paraId="605B0ADB" w14:textId="77777777" w:rsidR="009F1211" w:rsidRPr="00073B7A" w:rsidRDefault="009F1211" w:rsidP="00073B7A">
      <w:pPr>
        <w:pStyle w:val="ListParagraph"/>
        <w:numPr>
          <w:ilvl w:val="0"/>
          <w:numId w:val="36"/>
        </w:numPr>
        <w:rPr>
          <w:rFonts w:asciiTheme="minorHAnsi" w:hAnsiTheme="minorHAnsi" w:cstheme="minorHAnsi"/>
        </w:rPr>
      </w:pPr>
      <w:r w:rsidRPr="00073B7A">
        <w:rPr>
          <w:rFonts w:asciiTheme="minorHAnsi" w:hAnsiTheme="minorHAnsi" w:cstheme="minorHAnsi"/>
        </w:rPr>
        <w:t>Easy to understand and interpret</w:t>
      </w:r>
    </w:p>
    <w:p w14:paraId="1FBC6E12" w14:textId="77777777" w:rsidR="009F1211" w:rsidRPr="00073B7A" w:rsidRDefault="009F1211" w:rsidP="00073B7A">
      <w:pPr>
        <w:pStyle w:val="ListParagraph"/>
        <w:numPr>
          <w:ilvl w:val="0"/>
          <w:numId w:val="36"/>
        </w:numPr>
        <w:rPr>
          <w:rFonts w:asciiTheme="minorHAnsi" w:hAnsiTheme="minorHAnsi" w:cstheme="minorHAnsi"/>
        </w:rPr>
      </w:pPr>
      <w:r w:rsidRPr="00073B7A">
        <w:rPr>
          <w:rFonts w:asciiTheme="minorHAnsi" w:hAnsiTheme="minorHAnsi" w:cstheme="minorHAnsi"/>
        </w:rPr>
        <w:t>Sensitive to management change</w:t>
      </w:r>
    </w:p>
    <w:p w14:paraId="1AD75B58" w14:textId="77777777" w:rsidR="009F1211" w:rsidRPr="00073B7A" w:rsidRDefault="009F1211" w:rsidP="00073B7A">
      <w:pPr>
        <w:pStyle w:val="ListParagraph"/>
        <w:numPr>
          <w:ilvl w:val="0"/>
          <w:numId w:val="36"/>
        </w:numPr>
        <w:rPr>
          <w:rFonts w:asciiTheme="minorHAnsi" w:hAnsiTheme="minorHAnsi" w:cstheme="minorHAnsi"/>
        </w:rPr>
      </w:pPr>
      <w:r w:rsidRPr="00073B7A">
        <w:rPr>
          <w:rFonts w:asciiTheme="minorHAnsi" w:hAnsiTheme="minorHAnsi" w:cstheme="minorHAnsi"/>
        </w:rPr>
        <w:t>Low cost</w:t>
      </w:r>
    </w:p>
    <w:p w14:paraId="52D7F84A" w14:textId="77777777" w:rsidR="009F1211" w:rsidRPr="00073B7A" w:rsidRDefault="009F1211" w:rsidP="00073B7A">
      <w:pPr>
        <w:pStyle w:val="ListParagraph"/>
        <w:numPr>
          <w:ilvl w:val="0"/>
          <w:numId w:val="36"/>
        </w:numPr>
        <w:rPr>
          <w:rFonts w:asciiTheme="minorHAnsi" w:hAnsiTheme="minorHAnsi" w:cstheme="minorHAnsi"/>
        </w:rPr>
      </w:pPr>
      <w:r w:rsidRPr="00073B7A">
        <w:rPr>
          <w:rFonts w:asciiTheme="minorHAnsi" w:hAnsiTheme="minorHAnsi" w:cstheme="minorHAnsi"/>
        </w:rPr>
        <w:t>Good availability of UK data</w:t>
      </w:r>
    </w:p>
    <w:p w14:paraId="425D0700" w14:textId="77777777" w:rsidR="009F1211" w:rsidRPr="00073B7A" w:rsidRDefault="009F1211" w:rsidP="00073B7A">
      <w:pPr>
        <w:pStyle w:val="ListParagraph"/>
        <w:numPr>
          <w:ilvl w:val="0"/>
          <w:numId w:val="36"/>
        </w:numPr>
        <w:rPr>
          <w:rFonts w:asciiTheme="minorHAnsi" w:hAnsiTheme="minorHAnsi" w:cstheme="minorHAnsi"/>
        </w:rPr>
      </w:pPr>
      <w:r w:rsidRPr="00073B7A">
        <w:rPr>
          <w:rFonts w:asciiTheme="minorHAnsi" w:hAnsiTheme="minorHAnsi" w:cstheme="minorHAnsi"/>
        </w:rPr>
        <w:t>Low number of field samples required – lowest score (shortest bar)</w:t>
      </w:r>
    </w:p>
    <w:p w14:paraId="6FF7833E" w14:textId="77777777" w:rsidR="009F1211" w:rsidRPr="009F1211" w:rsidRDefault="009F1211" w:rsidP="009F1211">
      <w:pPr>
        <w:rPr>
          <w:rFonts w:asciiTheme="minorHAnsi" w:hAnsiTheme="minorHAnsi" w:cstheme="minorHAnsi"/>
        </w:rPr>
      </w:pPr>
      <w:r w:rsidRPr="009F1211">
        <w:rPr>
          <w:rFonts w:asciiTheme="minorHAnsi" w:hAnsiTheme="minorHAnsi" w:cstheme="minorHAnsi"/>
        </w:rPr>
        <w:t>The bar lengths decrease steadily from top to bottom, showing a clear priority order.</w:t>
      </w:r>
    </w:p>
    <w:p w14:paraId="405D5239" w14:textId="77777777" w:rsidR="009F1211" w:rsidRPr="009F1211" w:rsidRDefault="009F1211" w:rsidP="009F1211">
      <w:pPr>
        <w:rPr>
          <w:rFonts w:asciiTheme="minorHAnsi" w:hAnsiTheme="minorHAnsi" w:cstheme="minorHAnsi"/>
        </w:rPr>
      </w:pPr>
      <w:r w:rsidRPr="009F1211">
        <w:rPr>
          <w:rFonts w:asciiTheme="minorHAnsi" w:hAnsiTheme="minorHAnsi" w:cstheme="minorHAnsi"/>
        </w:rPr>
        <w:t>Overall pattern:</w:t>
      </w:r>
    </w:p>
    <w:p w14:paraId="38F96047" w14:textId="77777777" w:rsidR="009F1211" w:rsidRPr="00073B7A" w:rsidRDefault="009F1211" w:rsidP="00073B7A">
      <w:pPr>
        <w:pStyle w:val="ListParagraph"/>
        <w:numPr>
          <w:ilvl w:val="0"/>
          <w:numId w:val="37"/>
        </w:numPr>
        <w:rPr>
          <w:rFonts w:asciiTheme="minorHAnsi" w:hAnsiTheme="minorHAnsi" w:cstheme="minorHAnsi"/>
        </w:rPr>
      </w:pPr>
      <w:r w:rsidRPr="00073B7A">
        <w:rPr>
          <w:rFonts w:asciiTheme="minorHAnsi" w:hAnsiTheme="minorHAnsi" w:cstheme="minorHAnsi"/>
        </w:rPr>
        <w:t>Direct relevance to soil health and ease of use are the most important factors.</w:t>
      </w:r>
    </w:p>
    <w:p w14:paraId="51EF51F1" w14:textId="77777777" w:rsidR="009F1211" w:rsidRPr="00073B7A" w:rsidRDefault="009F1211" w:rsidP="00073B7A">
      <w:pPr>
        <w:pStyle w:val="ListParagraph"/>
        <w:numPr>
          <w:ilvl w:val="0"/>
          <w:numId w:val="37"/>
        </w:numPr>
        <w:rPr>
          <w:rFonts w:asciiTheme="minorHAnsi" w:hAnsiTheme="minorHAnsi" w:cstheme="minorHAnsi"/>
        </w:rPr>
      </w:pPr>
      <w:r w:rsidRPr="00073B7A">
        <w:rPr>
          <w:rFonts w:asciiTheme="minorHAnsi" w:hAnsiTheme="minorHAnsi" w:cstheme="minorHAnsi"/>
        </w:rPr>
        <w:t>Practical considerations such as cost and data availability are important but less critical.</w:t>
      </w:r>
    </w:p>
    <w:p w14:paraId="0C7F4B28" w14:textId="652775B2" w:rsidR="003B3662" w:rsidRPr="00073B7A" w:rsidRDefault="009F1211" w:rsidP="00073B7A">
      <w:pPr>
        <w:pStyle w:val="ListParagraph"/>
        <w:numPr>
          <w:ilvl w:val="0"/>
          <w:numId w:val="37"/>
        </w:numPr>
        <w:rPr>
          <w:rFonts w:asciiTheme="minorHAnsi" w:hAnsiTheme="minorHAnsi" w:cstheme="minorHAnsi"/>
        </w:rPr>
      </w:pPr>
      <w:r w:rsidRPr="00073B7A">
        <w:rPr>
          <w:rFonts w:asciiTheme="minorHAnsi" w:hAnsiTheme="minorHAnsi" w:cstheme="minorHAnsi"/>
        </w:rPr>
        <w:t>Minimising the number of field samples is the least important criterion.</w:t>
      </w:r>
    </w:p>
    <w:p w14:paraId="7181367E" w14:textId="0BB81E2E" w:rsidR="00267B68" w:rsidRPr="00BD0074" w:rsidRDefault="00267B68" w:rsidP="00073B7A">
      <w:pPr>
        <w:rPr>
          <w:rFonts w:asciiTheme="minorHAnsi" w:eastAsiaTheme="majorEastAsia" w:hAnsiTheme="minorHAnsi" w:cstheme="minorHAnsi"/>
          <w:iCs/>
          <w:color w:val="006197" w:themeColor="text1" w:themeShade="BF"/>
          <w:sz w:val="24"/>
        </w:rPr>
      </w:pPr>
      <w:r w:rsidRPr="00BD0074">
        <w:rPr>
          <w:rFonts w:asciiTheme="minorHAnsi" w:eastAsiaTheme="majorEastAsia" w:hAnsiTheme="minorHAnsi" w:cstheme="minorHAnsi"/>
          <w:iCs/>
          <w:color w:val="006197" w:themeColor="text1" w:themeShade="BF"/>
          <w:sz w:val="24"/>
        </w:rPr>
        <w:t xml:space="preserve">Ranking </w:t>
      </w:r>
      <w:r>
        <w:rPr>
          <w:rFonts w:asciiTheme="minorHAnsi" w:eastAsiaTheme="majorEastAsia" w:hAnsiTheme="minorHAnsi" w:cstheme="minorHAnsi"/>
          <w:iCs/>
          <w:color w:val="006197" w:themeColor="text1" w:themeShade="BF"/>
          <w:sz w:val="24"/>
        </w:rPr>
        <w:t xml:space="preserve">ecosystem services </w:t>
      </w:r>
      <w:r w:rsidR="008C41C1">
        <w:rPr>
          <w:rFonts w:asciiTheme="minorHAnsi" w:eastAsiaTheme="majorEastAsia" w:hAnsiTheme="minorHAnsi" w:cstheme="minorHAnsi"/>
          <w:iCs/>
          <w:color w:val="006197" w:themeColor="text1" w:themeShade="BF"/>
          <w:sz w:val="24"/>
        </w:rPr>
        <w:t>from agricultural soils</w:t>
      </w:r>
    </w:p>
    <w:p w14:paraId="0FB4B927" w14:textId="374F887B" w:rsidR="009F1211" w:rsidRPr="00073B7A" w:rsidRDefault="002407BB" w:rsidP="00073B7A">
      <w:pPr>
        <w:rPr>
          <w:rFonts w:asciiTheme="minorHAnsi" w:hAnsiTheme="minorHAnsi" w:cstheme="minorHAnsi"/>
          <w:bCs/>
          <w:iCs/>
          <w:sz w:val="18"/>
          <w:szCs w:val="18"/>
        </w:rPr>
      </w:pPr>
      <w:r>
        <w:rPr>
          <w:rFonts w:asciiTheme="minorHAnsi" w:hAnsiTheme="minorHAnsi" w:cstheme="minorHAnsi"/>
        </w:rPr>
        <w:t>Workshop p</w:t>
      </w:r>
      <w:r w:rsidR="00BB5850" w:rsidRPr="00EB1D71">
        <w:rPr>
          <w:rFonts w:asciiTheme="minorHAnsi" w:hAnsiTheme="minorHAnsi" w:cstheme="minorHAnsi"/>
        </w:rPr>
        <w:t xml:space="preserve">articipants were asked to rank </w:t>
      </w:r>
      <w:r w:rsidR="00BB5850">
        <w:rPr>
          <w:rFonts w:asciiTheme="minorHAnsi" w:hAnsiTheme="minorHAnsi" w:cstheme="minorHAnsi"/>
        </w:rPr>
        <w:t xml:space="preserve">the ecosystem services provided </w:t>
      </w:r>
      <w:r w:rsidR="00535DCC">
        <w:rPr>
          <w:rFonts w:asciiTheme="minorHAnsi" w:hAnsiTheme="minorHAnsi" w:cstheme="minorHAnsi"/>
        </w:rPr>
        <w:t>by agricultural soils (</w:t>
      </w:r>
      <w:r>
        <w:rPr>
          <w:rFonts w:asciiTheme="minorHAnsi" w:hAnsiTheme="minorHAnsi" w:cstheme="minorHAnsi"/>
        </w:rPr>
        <w:fldChar w:fldCharType="begin"/>
      </w:r>
      <w:r>
        <w:rPr>
          <w:rFonts w:asciiTheme="minorHAnsi" w:hAnsiTheme="minorHAnsi" w:cstheme="minorHAnsi"/>
        </w:rPr>
        <w:instrText xml:space="preserve"> REF _Ref229661323 \h </w:instrText>
      </w:r>
      <w:r>
        <w:rPr>
          <w:rFonts w:asciiTheme="minorHAnsi" w:hAnsiTheme="minorHAnsi" w:cstheme="minorHAnsi"/>
        </w:rPr>
      </w:r>
      <w:r>
        <w:rPr>
          <w:rFonts w:asciiTheme="minorHAnsi" w:hAnsiTheme="minorHAnsi" w:cstheme="minorHAnsi"/>
        </w:rPr>
        <w:fldChar w:fldCharType="separate"/>
      </w:r>
      <w:r w:rsidRPr="009F1211">
        <w:rPr>
          <w:rFonts w:asciiTheme="minorHAnsi" w:hAnsiTheme="minorHAnsi" w:cstheme="minorHAnsi"/>
        </w:rPr>
        <w:t xml:space="preserve">Figure </w:t>
      </w:r>
      <w:r>
        <w:rPr>
          <w:rFonts w:asciiTheme="minorHAnsi" w:hAnsiTheme="minorHAnsi" w:cstheme="minorHAnsi"/>
          <w:noProof/>
        </w:rPr>
        <w:t>8</w:t>
      </w:r>
      <w:r>
        <w:rPr>
          <w:rFonts w:asciiTheme="minorHAnsi" w:hAnsiTheme="minorHAnsi" w:cstheme="minorHAnsi"/>
        </w:rPr>
        <w:fldChar w:fldCharType="end"/>
      </w:r>
      <w:r w:rsidR="00535DCC">
        <w:rPr>
          <w:rFonts w:asciiTheme="minorHAnsi" w:hAnsiTheme="minorHAnsi" w:cstheme="minorHAnsi"/>
        </w:rPr>
        <w:t>).</w:t>
      </w:r>
      <w:r>
        <w:rPr>
          <w:rFonts w:asciiTheme="minorHAnsi" w:hAnsiTheme="minorHAnsi" w:cstheme="minorHAnsi"/>
          <w:bCs/>
          <w:iCs/>
          <w:sz w:val="18"/>
          <w:szCs w:val="18"/>
        </w:rPr>
        <w:t xml:space="preserve"> </w:t>
      </w:r>
      <w:r w:rsidR="009F1211" w:rsidRPr="00BD0074">
        <w:t xml:space="preserve">Participants said it was hard to rank how important different soil </w:t>
      </w:r>
      <w:r w:rsidR="00FD704A" w:rsidRPr="00BD0074">
        <w:t>ecosys</w:t>
      </w:r>
      <w:r w:rsidR="00DD15C9" w:rsidRPr="00BD0074">
        <w:t xml:space="preserve">tem </w:t>
      </w:r>
      <w:r w:rsidR="009F1211" w:rsidRPr="00BD0074">
        <w:t>services are. This shows in the results, where water regulation and food production are ranked very similarly.</w:t>
      </w:r>
    </w:p>
    <w:p w14:paraId="61547300" w14:textId="05A6B627" w:rsidR="009F1211" w:rsidRPr="00BD0074" w:rsidRDefault="00CE4ADB" w:rsidP="00F325E8">
      <w:r w:rsidRPr="00F325E8">
        <w:rPr>
          <w:rFonts w:asciiTheme="minorHAnsi" w:hAnsiTheme="minorHAnsi" w:cstheme="minorHAnsi"/>
          <w:iCs/>
        </w:rPr>
        <w:t xml:space="preserve">The </w:t>
      </w:r>
      <w:r w:rsidR="002407BB" w:rsidRPr="00F325E8">
        <w:rPr>
          <w:rFonts w:asciiTheme="minorHAnsi" w:hAnsiTheme="minorHAnsi" w:cstheme="minorHAnsi"/>
          <w:iCs/>
        </w:rPr>
        <w:t>c</w:t>
      </w:r>
      <w:r w:rsidR="009F1211" w:rsidRPr="00B22117">
        <w:rPr>
          <w:rFonts w:asciiTheme="minorHAnsi" w:hAnsiTheme="minorHAnsi" w:cstheme="minorHAnsi"/>
          <w:bCs/>
        </w:rPr>
        <w:t>limate adaptation benefits (like water absorption and drought resilience) are seen as more important than climate mitigation benefits.</w:t>
      </w:r>
    </w:p>
    <w:p w14:paraId="5A5C9EE6" w14:textId="2C254F39" w:rsidR="00F041A1" w:rsidRPr="009F1211" w:rsidRDefault="00F041A1" w:rsidP="00E34291">
      <w:pPr>
        <w:pStyle w:val="Caption"/>
        <w:keepNext/>
        <w:rPr>
          <w:rFonts w:asciiTheme="minorHAnsi" w:hAnsiTheme="minorHAnsi" w:cstheme="minorHAnsi"/>
        </w:rPr>
      </w:pPr>
      <w:bookmarkStart w:id="89" w:name="_Ref229661323"/>
      <w:bookmarkStart w:id="90" w:name="_Toc228622132"/>
      <w:r w:rsidRPr="009F1211">
        <w:rPr>
          <w:rFonts w:asciiTheme="minorHAnsi" w:hAnsiTheme="minorHAnsi" w:cstheme="minorHAnsi"/>
        </w:rPr>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8</w:t>
      </w:r>
      <w:r w:rsidR="007D3945">
        <w:rPr>
          <w:rFonts w:asciiTheme="minorHAnsi" w:hAnsiTheme="minorHAnsi" w:cstheme="minorHAnsi"/>
        </w:rPr>
        <w:fldChar w:fldCharType="end"/>
      </w:r>
      <w:bookmarkEnd w:id="89"/>
      <w:r w:rsidRPr="009F1211">
        <w:rPr>
          <w:rFonts w:asciiTheme="minorHAnsi" w:hAnsiTheme="minorHAnsi" w:cstheme="minorHAnsi"/>
        </w:rPr>
        <w:t>. Ranking of ecosystem services from agricultural soils from most to least important</w:t>
      </w:r>
      <w:bookmarkEnd w:id="90"/>
    </w:p>
    <w:p w14:paraId="15D7E4AD" w14:textId="38D2C52F" w:rsidR="00F041A1" w:rsidRPr="00EB1D71" w:rsidRDefault="00F041A1" w:rsidP="002C5DD1">
      <w:pPr>
        <w:spacing w:line="278" w:lineRule="auto"/>
        <w:jc w:val="center"/>
        <w:rPr>
          <w:rFonts w:asciiTheme="minorHAnsi" w:hAnsiTheme="minorHAnsi" w:cstheme="minorHAnsi"/>
        </w:rPr>
      </w:pPr>
      <w:r w:rsidRPr="00EB1D71">
        <w:rPr>
          <w:rFonts w:asciiTheme="minorHAnsi" w:hAnsiTheme="minorHAnsi" w:cstheme="minorHAnsi"/>
          <w:noProof/>
        </w:rPr>
        <w:drawing>
          <wp:inline distT="0" distB="0" distL="0" distR="0" wp14:anchorId="08E35FE3" wp14:editId="78E16462">
            <wp:extent cx="5273918" cy="2247900"/>
            <wp:effectExtent l="0" t="0" r="3175" b="0"/>
            <wp:docPr id="1130501937" name="Picture 6" descr="A horizontal bar chart showing ecosystem services ranked by importance, with drought resilience highest and carbon capture low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01937" name="Picture 6" descr="A horizontal bar chart showing ecosystem services ranked by importance, with drought resilience highest and carbon capture lowest."/>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5293699" cy="2256331"/>
                    </a:xfrm>
                    <a:prstGeom prst="rect">
                      <a:avLst/>
                    </a:prstGeom>
                    <a:noFill/>
                  </pic:spPr>
                </pic:pic>
              </a:graphicData>
            </a:graphic>
          </wp:inline>
        </w:drawing>
      </w:r>
    </w:p>
    <w:p w14:paraId="151DF588" w14:textId="41A54193" w:rsidR="009F1211" w:rsidRDefault="009F1211" w:rsidP="009F1211">
      <w:bookmarkStart w:id="91" w:name="_Toc228622097"/>
      <w:r>
        <w:t>Figure 8 shows weighted scores for six ecosystem services, with green bars decreasing in length from top to bottom.</w:t>
      </w:r>
    </w:p>
    <w:p w14:paraId="1A1242A1" w14:textId="77777777" w:rsidR="009F1211" w:rsidRDefault="009F1211" w:rsidP="009F1211">
      <w:r>
        <w:t>Services ranked from highest to lowest importance:</w:t>
      </w:r>
    </w:p>
    <w:p w14:paraId="2380A58A" w14:textId="77777777" w:rsidR="009F1211" w:rsidRDefault="009F1211" w:rsidP="00BD0074">
      <w:pPr>
        <w:pStyle w:val="ListParagraph"/>
        <w:numPr>
          <w:ilvl w:val="0"/>
          <w:numId w:val="38"/>
        </w:numPr>
      </w:pPr>
      <w:r>
        <w:t>Absorbs water and improves drought resilience – highest score (longest bar)</w:t>
      </w:r>
    </w:p>
    <w:p w14:paraId="195B5442" w14:textId="77777777" w:rsidR="009F1211" w:rsidRDefault="009F1211" w:rsidP="00BD0074">
      <w:pPr>
        <w:pStyle w:val="ListParagraph"/>
        <w:numPr>
          <w:ilvl w:val="0"/>
          <w:numId w:val="38"/>
        </w:numPr>
      </w:pPr>
      <w:r>
        <w:t>Supports good food and fibre production</w:t>
      </w:r>
    </w:p>
    <w:p w14:paraId="5FBC397F" w14:textId="77777777" w:rsidR="009F1211" w:rsidRDefault="009F1211" w:rsidP="00BD0074">
      <w:pPr>
        <w:pStyle w:val="ListParagraph"/>
        <w:numPr>
          <w:ilvl w:val="0"/>
          <w:numId w:val="38"/>
        </w:numPr>
      </w:pPr>
      <w:r>
        <w:t>Efficiently cycles and supplies nitrogen to crops</w:t>
      </w:r>
    </w:p>
    <w:p w14:paraId="52F6AEF4" w14:textId="77777777" w:rsidR="009F1211" w:rsidRDefault="009F1211" w:rsidP="00BD0074">
      <w:pPr>
        <w:pStyle w:val="ListParagraph"/>
        <w:numPr>
          <w:ilvl w:val="0"/>
          <w:numId w:val="38"/>
        </w:numPr>
      </w:pPr>
      <w:r>
        <w:t>Efficiently cycles and supplies phosphorus and potassium to crops</w:t>
      </w:r>
    </w:p>
    <w:p w14:paraId="5CA29D1B" w14:textId="77777777" w:rsidR="009F1211" w:rsidRDefault="009F1211" w:rsidP="00BD0074">
      <w:pPr>
        <w:pStyle w:val="ListParagraph"/>
        <w:numPr>
          <w:ilvl w:val="0"/>
          <w:numId w:val="38"/>
        </w:numPr>
      </w:pPr>
      <w:r>
        <w:t>Absorbs water to reduce flooding off site</w:t>
      </w:r>
    </w:p>
    <w:p w14:paraId="6572062C" w14:textId="77777777" w:rsidR="009F1211" w:rsidRDefault="009F1211" w:rsidP="00BD0074">
      <w:pPr>
        <w:pStyle w:val="ListParagraph"/>
        <w:numPr>
          <w:ilvl w:val="0"/>
          <w:numId w:val="38"/>
        </w:numPr>
      </w:pPr>
      <w:r>
        <w:t>Captures carbon for climate change mitigation – lowest score (shortest bar)</w:t>
      </w:r>
    </w:p>
    <w:p w14:paraId="22651817" w14:textId="77777777" w:rsidR="009F1211" w:rsidRDefault="009F1211" w:rsidP="009F1211">
      <w:r>
        <w:lastRenderedPageBreak/>
        <w:t>Overall pattern:</w:t>
      </w:r>
    </w:p>
    <w:p w14:paraId="618BE6F4" w14:textId="41C297AC" w:rsidR="009F1211" w:rsidRDefault="009F1211" w:rsidP="00BD0074">
      <w:pPr>
        <w:pStyle w:val="ListParagraph"/>
        <w:numPr>
          <w:ilvl w:val="0"/>
          <w:numId w:val="39"/>
        </w:numPr>
      </w:pPr>
      <w:r>
        <w:t>Water management and food production are ranked as the most important</w:t>
      </w:r>
    </w:p>
    <w:p w14:paraId="4F2814E0" w14:textId="6167BF6A" w:rsidR="009F1211" w:rsidRDefault="009F1211" w:rsidP="00BD0074">
      <w:pPr>
        <w:pStyle w:val="ListParagraph"/>
        <w:numPr>
          <w:ilvl w:val="0"/>
          <w:numId w:val="39"/>
        </w:numPr>
      </w:pPr>
      <w:r>
        <w:t>Nutrient cycling is also highly valued</w:t>
      </w:r>
      <w:r w:rsidR="0069731C">
        <w:t xml:space="preserve">   </w:t>
      </w:r>
    </w:p>
    <w:p w14:paraId="24AE67E7" w14:textId="5B24F26B" w:rsidR="009F1211" w:rsidRDefault="009F1211" w:rsidP="00BD0074">
      <w:pPr>
        <w:pStyle w:val="ListParagraph"/>
        <w:numPr>
          <w:ilvl w:val="0"/>
          <w:numId w:val="39"/>
        </w:numPr>
      </w:pPr>
      <w:r>
        <w:t>Climate-related benefits are important but ranked lower, with carbon capture lowest</w:t>
      </w:r>
    </w:p>
    <w:p w14:paraId="26411C04" w14:textId="0BADC6C0" w:rsidR="00F041A1" w:rsidRPr="00AE2A6A" w:rsidRDefault="00F041A1" w:rsidP="00F041A1">
      <w:pPr>
        <w:pStyle w:val="Heading4"/>
        <w:rPr>
          <w:rFonts w:asciiTheme="minorHAnsi" w:hAnsiTheme="minorHAnsi" w:cstheme="minorHAnsi"/>
          <w:color w:val="006197" w:themeColor="text1" w:themeShade="BF"/>
        </w:rPr>
      </w:pPr>
      <w:r w:rsidRPr="00AE2A6A">
        <w:rPr>
          <w:rFonts w:asciiTheme="minorHAnsi" w:hAnsiTheme="minorHAnsi" w:cstheme="minorHAnsi"/>
          <w:color w:val="006197" w:themeColor="text1" w:themeShade="BF"/>
        </w:rPr>
        <w:t>Final ranking of indicators by stakeholders</w:t>
      </w:r>
      <w:bookmarkEnd w:id="91"/>
    </w:p>
    <w:p w14:paraId="2ADC9FAB" w14:textId="1F278878" w:rsidR="00F041A1" w:rsidRPr="00EB1D71" w:rsidRDefault="00F041A1" w:rsidP="00162C9E">
      <w:pPr>
        <w:rPr>
          <w:rFonts w:asciiTheme="minorHAnsi" w:hAnsiTheme="minorHAnsi" w:cstheme="minorHAnsi"/>
        </w:rPr>
      </w:pPr>
      <w:r w:rsidRPr="00EB1D71">
        <w:rPr>
          <w:rFonts w:asciiTheme="minorHAnsi" w:hAnsiTheme="minorHAnsi" w:cstheme="minorHAnsi"/>
        </w:rPr>
        <w:t>Before the final voting on the four soil health indicators, participants shared their thoughts using posts on a whiteboard during a second breakout session. The AI summaries of these posts (</w:t>
      </w:r>
      <w:r w:rsidR="007F56B5" w:rsidRPr="00EB1D71">
        <w:rPr>
          <w:rStyle w:val="TableHyperlink"/>
          <w:rFonts w:asciiTheme="minorHAnsi" w:hAnsiTheme="minorHAnsi" w:cstheme="minorHAnsi"/>
        </w:rPr>
        <w:fldChar w:fldCharType="begin"/>
      </w:r>
      <w:r w:rsidR="007F56B5" w:rsidRPr="00EB1D71">
        <w:rPr>
          <w:rStyle w:val="TableHyperlink"/>
          <w:rFonts w:asciiTheme="minorHAnsi" w:hAnsiTheme="minorHAnsi" w:cstheme="minorHAnsi"/>
        </w:rPr>
        <w:instrText xml:space="preserve"> REF _Ref226118691 \h </w:instrText>
      </w:r>
      <w:r w:rsidR="00735BB6" w:rsidRPr="00EB1D71">
        <w:rPr>
          <w:rStyle w:val="TableHyperlink"/>
          <w:rFonts w:asciiTheme="minorHAnsi" w:hAnsiTheme="minorHAnsi" w:cstheme="minorHAnsi"/>
        </w:rPr>
        <w:instrText xml:space="preserve"> \* MERGEFORMAT </w:instrText>
      </w:r>
      <w:r w:rsidR="007F56B5" w:rsidRPr="00EB1D71">
        <w:rPr>
          <w:rStyle w:val="TableHyperlink"/>
          <w:rFonts w:asciiTheme="minorHAnsi" w:hAnsiTheme="minorHAnsi" w:cstheme="minorHAnsi"/>
        </w:rPr>
      </w:r>
      <w:r w:rsidR="007F56B5" w:rsidRPr="00EB1D71">
        <w:rPr>
          <w:rStyle w:val="TableHyperlink"/>
          <w:rFonts w:asciiTheme="minorHAnsi" w:hAnsiTheme="minorHAnsi" w:cstheme="minorHAnsi"/>
        </w:rPr>
        <w:fldChar w:fldCharType="separate"/>
      </w:r>
      <w:r w:rsidR="007F56B5" w:rsidRPr="00EB1D71">
        <w:rPr>
          <w:rStyle w:val="TableHyperlink"/>
          <w:rFonts w:asciiTheme="minorHAnsi" w:hAnsiTheme="minorHAnsi" w:cstheme="minorHAnsi"/>
        </w:rPr>
        <w:t>Table 17</w:t>
      </w:r>
      <w:r w:rsidR="007F56B5" w:rsidRPr="00EB1D71">
        <w:rPr>
          <w:rStyle w:val="TableHyperlink"/>
          <w:rFonts w:asciiTheme="minorHAnsi" w:hAnsiTheme="minorHAnsi" w:cstheme="minorHAnsi"/>
        </w:rPr>
        <w:fldChar w:fldCharType="end"/>
      </w:r>
      <w:r w:rsidRPr="00EB1D71">
        <w:rPr>
          <w:rFonts w:asciiTheme="minorHAnsi" w:hAnsiTheme="minorHAnsi" w:cstheme="minorHAnsi"/>
        </w:rPr>
        <w:t>) reflected the outcomes of the final voting (</w:t>
      </w:r>
      <w:r w:rsidR="006329C4" w:rsidRPr="00EB1D71">
        <w:rPr>
          <w:rStyle w:val="TableHyperlink"/>
          <w:rFonts w:asciiTheme="minorHAnsi" w:hAnsiTheme="minorHAnsi" w:cstheme="minorHAnsi"/>
        </w:rPr>
        <w:fldChar w:fldCharType="begin"/>
      </w:r>
      <w:r w:rsidR="006329C4" w:rsidRPr="00EB1D71">
        <w:rPr>
          <w:rStyle w:val="TableHyperlink"/>
          <w:rFonts w:asciiTheme="minorHAnsi" w:hAnsiTheme="minorHAnsi" w:cstheme="minorHAnsi"/>
        </w:rPr>
        <w:instrText xml:space="preserve"> REF _Ref221873716 \h </w:instrText>
      </w:r>
      <w:r w:rsidR="00735BB6" w:rsidRPr="00EB1D71">
        <w:rPr>
          <w:rStyle w:val="TableHyperlink"/>
          <w:rFonts w:asciiTheme="minorHAnsi" w:hAnsiTheme="minorHAnsi" w:cstheme="minorHAnsi"/>
        </w:rPr>
        <w:instrText xml:space="preserve"> \* MERGEFORMAT </w:instrText>
      </w:r>
      <w:r w:rsidR="006329C4" w:rsidRPr="00EB1D71">
        <w:rPr>
          <w:rStyle w:val="TableHyperlink"/>
          <w:rFonts w:asciiTheme="minorHAnsi" w:hAnsiTheme="minorHAnsi" w:cstheme="minorHAnsi"/>
        </w:rPr>
      </w:r>
      <w:r w:rsidR="006329C4" w:rsidRPr="00EB1D71">
        <w:rPr>
          <w:rStyle w:val="TableHyperlink"/>
          <w:rFonts w:asciiTheme="minorHAnsi" w:hAnsiTheme="minorHAnsi" w:cstheme="minorHAnsi"/>
        </w:rPr>
        <w:fldChar w:fldCharType="separate"/>
      </w:r>
      <w:r w:rsidR="006329C4" w:rsidRPr="00EB1D71">
        <w:rPr>
          <w:rStyle w:val="TableHyperlink"/>
          <w:rFonts w:asciiTheme="minorHAnsi" w:hAnsiTheme="minorHAnsi" w:cstheme="minorHAnsi"/>
        </w:rPr>
        <w:t>Figure 9</w:t>
      </w:r>
      <w:r w:rsidR="006329C4" w:rsidRPr="00EB1D71">
        <w:rPr>
          <w:rStyle w:val="TableHyperlink"/>
          <w:rFonts w:asciiTheme="minorHAnsi" w:hAnsiTheme="minorHAnsi" w:cstheme="minorHAnsi"/>
        </w:rPr>
        <w:fldChar w:fldCharType="end"/>
      </w:r>
      <w:r w:rsidRPr="00EB1D71">
        <w:rPr>
          <w:rFonts w:asciiTheme="minorHAnsi" w:hAnsiTheme="minorHAnsi" w:cstheme="minorHAnsi"/>
        </w:rPr>
        <w:t xml:space="preserve">).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and aggregate stability were both viewed positively because of their clear links to soil structure and function. Aggregate stability was interpreted by the participants as referring to the slake test, rather than wet sieving which is the laboratory method for determining aggregate stability. For </w:t>
      </w:r>
      <w:proofErr w:type="gramStart"/>
      <w:r w:rsidRPr="00EB1D71">
        <w:rPr>
          <w:rFonts w:asciiTheme="minorHAnsi" w:hAnsiTheme="minorHAnsi" w:cstheme="minorHAnsi"/>
        </w:rPr>
        <w:t>both of these</w:t>
      </w:r>
      <w:proofErr w:type="gramEnd"/>
      <w:r w:rsidRPr="00EB1D71">
        <w:rPr>
          <w:rFonts w:asciiTheme="minorHAnsi" w:hAnsiTheme="minorHAnsi" w:cstheme="minorHAnsi"/>
        </w:rPr>
        <w:t xml:space="preserve"> indicators, their ease of implementation by farmers and low-cost were viewed as positives, although there was recognition that training would be required for reliable, actionable results from these tests. Some uncertainties around active carbon were raised, particularly the question: will it provide additional information to a standard soil organic matter analysis? The comments on potentially mineralisable nitrogen during the workshop surprised the project team, who viewed this as a well-known and recognised test. Various workshop participants flagged the challenges with explaining to farmers what PMN means and how to use the results to make decisions on-farm about soil management.</w:t>
      </w:r>
    </w:p>
    <w:p w14:paraId="07CD2EBB" w14:textId="58A72E80" w:rsidR="006329C4" w:rsidRPr="00EB1D71" w:rsidRDefault="006329C4" w:rsidP="006329C4">
      <w:pPr>
        <w:pStyle w:val="Caption"/>
        <w:keepNext/>
        <w:rPr>
          <w:rFonts w:asciiTheme="minorHAnsi" w:hAnsiTheme="minorHAnsi" w:cstheme="minorHAnsi"/>
        </w:rPr>
      </w:pPr>
      <w:bookmarkStart w:id="92" w:name="_Ref226118691"/>
      <w:bookmarkStart w:id="93" w:name="_Toc228622123"/>
      <w:r w:rsidRPr="00EB1D71">
        <w:rPr>
          <w:rFonts w:asciiTheme="minorHAnsi" w:hAnsiTheme="minorHAnsi" w:cstheme="minorHAnsi"/>
        </w:rPr>
        <w:t xml:space="preserve">Table </w:t>
      </w:r>
      <w:r w:rsidR="009A568B" w:rsidRPr="00EB1D71">
        <w:rPr>
          <w:rFonts w:asciiTheme="minorHAnsi" w:hAnsiTheme="minorHAnsi" w:cstheme="minorHAnsi"/>
        </w:rPr>
        <w:fldChar w:fldCharType="begin"/>
      </w:r>
      <w:r w:rsidR="009A568B" w:rsidRPr="00EB1D71">
        <w:rPr>
          <w:rFonts w:asciiTheme="minorHAnsi" w:hAnsiTheme="minorHAnsi" w:cstheme="minorHAnsi"/>
        </w:rPr>
        <w:instrText xml:space="preserve"> SEQ Table \* ARABIC </w:instrText>
      </w:r>
      <w:r w:rsidR="009A568B" w:rsidRPr="00EB1D71">
        <w:rPr>
          <w:rFonts w:asciiTheme="minorHAnsi" w:hAnsiTheme="minorHAnsi" w:cstheme="minorHAnsi"/>
        </w:rPr>
        <w:fldChar w:fldCharType="separate"/>
      </w:r>
      <w:r w:rsidR="00C400DA">
        <w:rPr>
          <w:rFonts w:asciiTheme="minorHAnsi" w:hAnsiTheme="minorHAnsi" w:cstheme="minorHAnsi"/>
          <w:noProof/>
        </w:rPr>
        <w:t>17</w:t>
      </w:r>
      <w:r w:rsidR="009A568B" w:rsidRPr="00EB1D71">
        <w:rPr>
          <w:rFonts w:asciiTheme="minorHAnsi" w:hAnsiTheme="minorHAnsi" w:cstheme="minorHAnsi"/>
          <w:noProof/>
        </w:rPr>
        <w:fldChar w:fldCharType="end"/>
      </w:r>
      <w:bookmarkEnd w:id="92"/>
      <w:r w:rsidRPr="00EB1D71">
        <w:rPr>
          <w:rFonts w:asciiTheme="minorHAnsi" w:hAnsiTheme="minorHAnsi" w:cstheme="minorHAnsi"/>
          <w:noProof/>
        </w:rPr>
        <w:t>.</w:t>
      </w:r>
      <w:r w:rsidRPr="00EB1D71">
        <w:rPr>
          <w:rFonts w:asciiTheme="minorHAnsi" w:hAnsiTheme="minorHAnsi" w:cstheme="minorHAnsi"/>
        </w:rPr>
        <w:t xml:space="preserve"> AI summary of whiteboard posts on each of the four indicators and final comments from the stakeholder workshop on early indicators to monitor changes in soil health</w:t>
      </w:r>
      <w:bookmarkEnd w:id="93"/>
    </w:p>
    <w:tbl>
      <w:tblPr>
        <w:tblStyle w:val="TableGrid"/>
        <w:tblW w:w="0" w:type="auto"/>
        <w:tblLook w:val="04A0" w:firstRow="1" w:lastRow="0" w:firstColumn="1" w:lastColumn="0" w:noHBand="0" w:noVBand="1"/>
      </w:tblPr>
      <w:tblGrid>
        <w:gridCol w:w="1555"/>
        <w:gridCol w:w="7505"/>
      </w:tblGrid>
      <w:tr w:rsidR="006329C4" w:rsidRPr="00EB1D71" w14:paraId="6701BAFD" w14:textId="77777777" w:rsidTr="00C404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5867939" w14:textId="77777777" w:rsidR="006329C4" w:rsidRPr="00EB1D71" w:rsidRDefault="006329C4" w:rsidP="00C4041A">
            <w:pPr>
              <w:spacing w:before="144" w:after="144" w:line="278" w:lineRule="auto"/>
              <w:rPr>
                <w:rFonts w:asciiTheme="minorHAnsi" w:hAnsiTheme="minorHAnsi" w:cstheme="minorHAnsi"/>
              </w:rPr>
            </w:pPr>
            <w:r w:rsidRPr="00EB1D71">
              <w:rPr>
                <w:rFonts w:asciiTheme="minorHAnsi" w:hAnsiTheme="minorHAnsi" w:cstheme="minorHAnsi"/>
              </w:rPr>
              <w:t>Whiteboard themes</w:t>
            </w:r>
          </w:p>
        </w:tc>
        <w:tc>
          <w:tcPr>
            <w:tcW w:w="7505" w:type="dxa"/>
          </w:tcPr>
          <w:p w14:paraId="72E56FDF" w14:textId="77777777" w:rsidR="006329C4" w:rsidRPr="00EB1D71" w:rsidRDefault="006329C4" w:rsidP="00C4041A">
            <w:pPr>
              <w:spacing w:before="144" w:after="144" w:line="27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AI summary of whiteboard responses</w:t>
            </w:r>
          </w:p>
        </w:tc>
      </w:tr>
      <w:tr w:rsidR="006329C4" w:rsidRPr="00EB1D71" w14:paraId="035471F6" w14:textId="77777777" w:rsidTr="00C4041A">
        <w:tc>
          <w:tcPr>
            <w:cnfStyle w:val="001000000000" w:firstRow="0" w:lastRow="0" w:firstColumn="1" w:lastColumn="0" w:oddVBand="0" w:evenVBand="0" w:oddHBand="0" w:evenHBand="0" w:firstRowFirstColumn="0" w:firstRowLastColumn="0" w:lastRowFirstColumn="0" w:lastRowLastColumn="0"/>
            <w:tcW w:w="1555" w:type="dxa"/>
          </w:tcPr>
          <w:p w14:paraId="486F7B37" w14:textId="77777777" w:rsidR="006329C4" w:rsidRPr="00EB1D71" w:rsidRDefault="006329C4" w:rsidP="00C4041A">
            <w:pPr>
              <w:spacing w:before="144" w:after="144"/>
              <w:rPr>
                <w:rFonts w:asciiTheme="minorHAnsi" w:hAnsiTheme="minorHAnsi" w:cstheme="minorHAnsi"/>
                <w:b w:val="0"/>
                <w:szCs w:val="20"/>
              </w:rPr>
            </w:pPr>
            <w:r w:rsidRPr="00EB1D71">
              <w:rPr>
                <w:rFonts w:asciiTheme="minorHAnsi" w:hAnsiTheme="minorHAnsi" w:cstheme="minorHAnsi"/>
                <w:b w:val="0"/>
                <w:szCs w:val="20"/>
              </w:rPr>
              <w:t>Aggregate stability</w:t>
            </w:r>
          </w:p>
        </w:tc>
        <w:tc>
          <w:tcPr>
            <w:tcW w:w="7505" w:type="dxa"/>
          </w:tcPr>
          <w:p w14:paraId="77D6B7C1" w14:textId="77777777" w:rsidR="006329C4" w:rsidRPr="00EB1D71" w:rsidRDefault="006329C4" w:rsidP="00C4041A">
            <w:pPr>
              <w:spacing w:before="144" w:after="144" w:line="27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szCs w:val="20"/>
              </w:rPr>
              <w:t>Aggregate stability was generally seen as meaningful and relatable, with clear links to soil structure and function. Participants appreciated its visual nature and relevance to farmers, but there was strong concern about it being framed as a laboratory test. Many preferred simple in-field approaches (e.g. slake tests, visual assessment, visual evaluation of soil structure (VESS)), emphasising accessibility and farmer engagement. Questions were raised about benchmarking and interpretation, particularly across soil types. Overall, it was viewed positively, but there was a clear preference for practical, field-based methods over laboratory-based measurements.</w:t>
            </w:r>
          </w:p>
        </w:tc>
      </w:tr>
      <w:tr w:rsidR="006329C4" w:rsidRPr="00EB1D71" w14:paraId="0DE885DF" w14:textId="77777777" w:rsidTr="00C4041A">
        <w:tc>
          <w:tcPr>
            <w:cnfStyle w:val="001000000000" w:firstRow="0" w:lastRow="0" w:firstColumn="1" w:lastColumn="0" w:oddVBand="0" w:evenVBand="0" w:oddHBand="0" w:evenHBand="0" w:firstRowFirstColumn="0" w:firstRowLastColumn="0" w:lastRowFirstColumn="0" w:lastRowLastColumn="0"/>
            <w:tcW w:w="1555" w:type="dxa"/>
          </w:tcPr>
          <w:p w14:paraId="59A48DCF" w14:textId="77777777" w:rsidR="006329C4" w:rsidRPr="00EB1D71" w:rsidRDefault="006329C4" w:rsidP="00C4041A">
            <w:pPr>
              <w:spacing w:before="144" w:after="144"/>
              <w:rPr>
                <w:rFonts w:asciiTheme="minorHAnsi" w:hAnsiTheme="minorHAnsi" w:cstheme="minorHAnsi"/>
                <w:b w:val="0"/>
                <w:szCs w:val="20"/>
              </w:rPr>
            </w:pPr>
            <w:r w:rsidRPr="00EB1D71">
              <w:rPr>
                <w:rFonts w:asciiTheme="minorHAnsi" w:hAnsiTheme="minorHAnsi" w:cstheme="minorHAnsi"/>
                <w:b w:val="0"/>
                <w:szCs w:val="20"/>
              </w:rPr>
              <w:t xml:space="preserve">Active carbon </w:t>
            </w:r>
          </w:p>
        </w:tc>
        <w:tc>
          <w:tcPr>
            <w:tcW w:w="7505" w:type="dxa"/>
          </w:tcPr>
          <w:p w14:paraId="18E114D2" w14:textId="77777777" w:rsidR="006329C4" w:rsidRPr="00EB1D71" w:rsidRDefault="006329C4" w:rsidP="00C4041A">
            <w:pPr>
              <w:spacing w:before="144" w:after="144" w:line="27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szCs w:val="20"/>
              </w:rPr>
              <w:t>Active carbon was seen as potentially useful, particularly in relation to carbon cycling and soil organic matter, but there was uncertainty around interpretation and added value. Participants questioned how it differs from total organic matter and whether it provides actionable insights for management. Some felt it may not respond quickly to change or may simply track existing measures. The complexity of explaining different carbon fractions to farmers was also highlighted. Overall, interest was moderate but tempered by concerns about interpretability, relevance, and practical application.</w:t>
            </w:r>
          </w:p>
        </w:tc>
      </w:tr>
      <w:tr w:rsidR="006329C4" w:rsidRPr="00EB1D71" w14:paraId="4E84F63E" w14:textId="77777777" w:rsidTr="00C4041A">
        <w:tc>
          <w:tcPr>
            <w:cnfStyle w:val="001000000000" w:firstRow="0" w:lastRow="0" w:firstColumn="1" w:lastColumn="0" w:oddVBand="0" w:evenVBand="0" w:oddHBand="0" w:evenHBand="0" w:firstRowFirstColumn="0" w:firstRowLastColumn="0" w:lastRowFirstColumn="0" w:lastRowLastColumn="0"/>
            <w:tcW w:w="1555" w:type="dxa"/>
          </w:tcPr>
          <w:p w14:paraId="2C647DBA" w14:textId="77777777" w:rsidR="006329C4" w:rsidRPr="00EB1D71" w:rsidRDefault="006329C4" w:rsidP="00C4041A">
            <w:pPr>
              <w:spacing w:before="144" w:after="144"/>
              <w:rPr>
                <w:rFonts w:asciiTheme="minorHAnsi" w:hAnsiTheme="minorHAnsi" w:cstheme="minorHAnsi"/>
                <w:b w:val="0"/>
                <w:szCs w:val="20"/>
              </w:rPr>
            </w:pPr>
            <w:r w:rsidRPr="00EB1D71">
              <w:rPr>
                <w:rFonts w:asciiTheme="minorHAnsi" w:hAnsiTheme="minorHAnsi" w:cstheme="minorHAnsi"/>
                <w:b w:val="0"/>
                <w:szCs w:val="20"/>
              </w:rPr>
              <w:lastRenderedPageBreak/>
              <w:t>Crop root architecture (</w:t>
            </w:r>
            <w:proofErr w:type="spellStart"/>
            <w:r w:rsidRPr="00EB1D71">
              <w:rPr>
                <w:rFonts w:asciiTheme="minorHAnsi" w:hAnsiTheme="minorHAnsi" w:cstheme="minorHAnsi"/>
                <w:b w:val="0"/>
                <w:szCs w:val="20"/>
              </w:rPr>
              <w:t>shovelomics</w:t>
            </w:r>
            <w:proofErr w:type="spellEnd"/>
            <w:r w:rsidRPr="00EB1D71">
              <w:rPr>
                <w:rFonts w:asciiTheme="minorHAnsi" w:hAnsiTheme="minorHAnsi" w:cstheme="minorHAnsi"/>
                <w:b w:val="0"/>
                <w:szCs w:val="20"/>
              </w:rPr>
              <w:t xml:space="preserve">) </w:t>
            </w:r>
          </w:p>
        </w:tc>
        <w:tc>
          <w:tcPr>
            <w:tcW w:w="7505" w:type="dxa"/>
          </w:tcPr>
          <w:p w14:paraId="26380783" w14:textId="77777777" w:rsidR="006329C4" w:rsidRPr="00EB1D71" w:rsidRDefault="006329C4" w:rsidP="00C4041A">
            <w:pPr>
              <w:spacing w:before="144" w:after="144" w:line="27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szCs w:val="20"/>
              </w:rPr>
              <w:t>Crop rooting (</w:t>
            </w:r>
            <w:proofErr w:type="spellStart"/>
            <w:r w:rsidRPr="00EB1D71">
              <w:rPr>
                <w:rFonts w:asciiTheme="minorHAnsi" w:hAnsiTheme="minorHAnsi" w:cstheme="minorHAnsi"/>
                <w:szCs w:val="20"/>
              </w:rPr>
              <w:t>shovelomics</w:t>
            </w:r>
            <w:proofErr w:type="spellEnd"/>
            <w:r w:rsidRPr="00EB1D71">
              <w:rPr>
                <w:rFonts w:asciiTheme="minorHAnsi" w:hAnsiTheme="minorHAnsi" w:cstheme="minorHAnsi"/>
                <w:szCs w:val="20"/>
              </w:rPr>
              <w:t>) was viewed very positively as a practical, farmer-led approach that encourages engagement with soil. Participants valued its simplicity, low cost, and direct link to soil function. However, concerns were raised about subjectivity, consistency, and the need for clear protocols or scoring systems. Some questioned how to benchmark results or compare across fields and systems. Despite these limitations, it was widely seen as a useful and relatable indicator, particularly for on-farm assessment and discussion.</w:t>
            </w:r>
          </w:p>
        </w:tc>
      </w:tr>
      <w:tr w:rsidR="006329C4" w:rsidRPr="00EB1D71" w14:paraId="78129FF3" w14:textId="77777777" w:rsidTr="00C4041A">
        <w:tc>
          <w:tcPr>
            <w:cnfStyle w:val="001000000000" w:firstRow="0" w:lastRow="0" w:firstColumn="1" w:lastColumn="0" w:oddVBand="0" w:evenVBand="0" w:oddHBand="0" w:evenHBand="0" w:firstRowFirstColumn="0" w:firstRowLastColumn="0" w:lastRowFirstColumn="0" w:lastRowLastColumn="0"/>
            <w:tcW w:w="1555" w:type="dxa"/>
          </w:tcPr>
          <w:p w14:paraId="5DE79791" w14:textId="77777777" w:rsidR="006329C4" w:rsidRPr="00EB1D71" w:rsidRDefault="006329C4" w:rsidP="00C4041A">
            <w:pPr>
              <w:spacing w:before="144" w:after="144"/>
              <w:rPr>
                <w:rFonts w:asciiTheme="minorHAnsi" w:hAnsiTheme="minorHAnsi" w:cstheme="minorHAnsi"/>
                <w:b w:val="0"/>
                <w:szCs w:val="20"/>
              </w:rPr>
            </w:pPr>
            <w:r w:rsidRPr="00EB1D71">
              <w:rPr>
                <w:rFonts w:asciiTheme="minorHAnsi" w:hAnsiTheme="minorHAnsi" w:cstheme="minorHAnsi"/>
                <w:b w:val="0"/>
                <w:szCs w:val="20"/>
              </w:rPr>
              <w:t xml:space="preserve">Potentially mineralisable nitrogen (PMN) </w:t>
            </w:r>
          </w:p>
        </w:tc>
        <w:tc>
          <w:tcPr>
            <w:tcW w:w="7505" w:type="dxa"/>
          </w:tcPr>
          <w:p w14:paraId="18AE76DC" w14:textId="77777777" w:rsidR="006329C4" w:rsidRPr="00EB1D71" w:rsidRDefault="006329C4" w:rsidP="00C4041A">
            <w:pPr>
              <w:spacing w:before="144" w:after="144" w:line="27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szCs w:val="20"/>
              </w:rPr>
              <w:t>PMN was seen as scientifically useful, particularly for estimating nitrogen supply and informing nutrient management, but there were significant concerns about interpretation and usability. Participants noted its relevance to nutrient budgeting and reducing inputs, and its inclusion in existing guidance (e.g. RB209). However, it was often viewed as complex, difficult to communicate, and not easily understood by farmers. Some questioned its added value relative to broader soil biological function. Overall, it was considered promising but currently limited by communication and interpretation challenges.</w:t>
            </w:r>
          </w:p>
        </w:tc>
      </w:tr>
      <w:tr w:rsidR="006329C4" w:rsidRPr="00EB1D71" w14:paraId="11B0C793" w14:textId="77777777" w:rsidTr="00C4041A">
        <w:tc>
          <w:tcPr>
            <w:cnfStyle w:val="001000000000" w:firstRow="0" w:lastRow="0" w:firstColumn="1" w:lastColumn="0" w:oddVBand="0" w:evenVBand="0" w:oddHBand="0" w:evenHBand="0" w:firstRowFirstColumn="0" w:firstRowLastColumn="0" w:lastRowFirstColumn="0" w:lastRowLastColumn="0"/>
            <w:tcW w:w="1555" w:type="dxa"/>
          </w:tcPr>
          <w:p w14:paraId="7D8F18CC" w14:textId="77777777" w:rsidR="006329C4" w:rsidRPr="00EB1D71" w:rsidRDefault="006329C4" w:rsidP="00C4041A">
            <w:pPr>
              <w:spacing w:before="144" w:after="144"/>
              <w:rPr>
                <w:rFonts w:asciiTheme="minorHAnsi" w:hAnsiTheme="minorHAnsi" w:cstheme="minorHAnsi"/>
                <w:b w:val="0"/>
                <w:szCs w:val="20"/>
              </w:rPr>
            </w:pPr>
            <w:r w:rsidRPr="00EB1D71">
              <w:rPr>
                <w:rFonts w:asciiTheme="minorHAnsi" w:hAnsiTheme="minorHAnsi" w:cstheme="minorHAnsi"/>
                <w:b w:val="0"/>
                <w:szCs w:val="20"/>
              </w:rPr>
              <w:t xml:space="preserve">What have we missed? / </w:t>
            </w:r>
            <w:proofErr w:type="gramStart"/>
            <w:r w:rsidRPr="00EB1D71">
              <w:rPr>
                <w:rFonts w:asciiTheme="minorHAnsi" w:hAnsiTheme="minorHAnsi" w:cstheme="minorHAnsi"/>
                <w:b w:val="0"/>
                <w:szCs w:val="20"/>
              </w:rPr>
              <w:t>preferred</w:t>
            </w:r>
            <w:proofErr w:type="gramEnd"/>
            <w:r w:rsidRPr="00EB1D71">
              <w:rPr>
                <w:rFonts w:asciiTheme="minorHAnsi" w:hAnsiTheme="minorHAnsi" w:cstheme="minorHAnsi"/>
                <w:b w:val="0"/>
                <w:szCs w:val="20"/>
              </w:rPr>
              <w:t xml:space="preserve"> metrics</w:t>
            </w:r>
          </w:p>
        </w:tc>
        <w:tc>
          <w:tcPr>
            <w:tcW w:w="7505" w:type="dxa"/>
          </w:tcPr>
          <w:p w14:paraId="75B73D1F" w14:textId="77777777" w:rsidR="006329C4" w:rsidRPr="00EB1D71" w:rsidRDefault="006329C4" w:rsidP="00C4041A">
            <w:pPr>
              <w:spacing w:before="144" w:after="144" w:line="278"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B1D71">
              <w:rPr>
                <w:rFonts w:asciiTheme="minorHAnsi" w:hAnsiTheme="minorHAnsi" w:cstheme="minorHAnsi"/>
                <w:szCs w:val="20"/>
              </w:rPr>
              <w:t>A strong theme was the importance of simple, field-based, and farmer-led assessments. Participants repeatedly emphasised visual and tactile indicators (e.g. digging pits, smell, earthworms, infiltration, compaction) as key to engagement and understanding. Soil biology was highlighted as underrepresented, with interest in microbial assessments, nematodes, and practical proxies (e.g. “bury your pants” test). There was also a call to consider wider land uses beyond agriculture. Overall, respondents stressed accessibility, relatability, and hands-on approaches over complex laboratory methods.</w:t>
            </w:r>
          </w:p>
        </w:tc>
      </w:tr>
    </w:tbl>
    <w:p w14:paraId="4EDCD329" w14:textId="77777777" w:rsidR="006329C4" w:rsidRPr="00EB1D71" w:rsidRDefault="006329C4" w:rsidP="00F041A1">
      <w:pPr>
        <w:rPr>
          <w:rFonts w:asciiTheme="minorHAnsi" w:hAnsiTheme="minorHAnsi" w:cstheme="minorHAnsi"/>
        </w:rPr>
      </w:pPr>
    </w:p>
    <w:p w14:paraId="233FA3C8" w14:textId="124A7FCC" w:rsidR="006329C4" w:rsidRPr="00EB1D71" w:rsidRDefault="006329C4" w:rsidP="00383EB9">
      <w:pPr>
        <w:rPr>
          <w:rFonts w:asciiTheme="minorHAnsi" w:hAnsiTheme="minorHAnsi" w:cstheme="minorHAnsi"/>
        </w:rPr>
      </w:pPr>
      <w:r w:rsidRPr="00EB1D71">
        <w:rPr>
          <w:rFonts w:asciiTheme="minorHAnsi" w:hAnsiTheme="minorHAnsi" w:cstheme="minorHAnsi"/>
        </w:rPr>
        <w:t xml:space="preserve">A clear consensus emerged to include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and aggregate stability (slake test) for further development as early indicators to monitor changes in soil health. </w:t>
      </w:r>
      <w:proofErr w:type="gramStart"/>
      <w:r w:rsidRPr="00EB1D71">
        <w:rPr>
          <w:rFonts w:asciiTheme="minorHAnsi" w:hAnsiTheme="minorHAnsi" w:cstheme="minorHAnsi"/>
        </w:rPr>
        <w:t>The majority of</w:t>
      </w:r>
      <w:proofErr w:type="gramEnd"/>
      <w:r w:rsidRPr="00EB1D71">
        <w:rPr>
          <w:rFonts w:asciiTheme="minorHAnsi" w:hAnsiTheme="minorHAnsi" w:cstheme="minorHAnsi"/>
        </w:rPr>
        <w:t xml:space="preserve"> participants did not feel they had enough information to judge whether active carbon or potentially minerali</w:t>
      </w:r>
      <w:r w:rsidR="00DB3554" w:rsidRPr="00EB1D71">
        <w:rPr>
          <w:rFonts w:asciiTheme="minorHAnsi" w:hAnsiTheme="minorHAnsi" w:cstheme="minorHAnsi"/>
        </w:rPr>
        <w:t>s</w:t>
      </w:r>
      <w:r w:rsidRPr="00EB1D71">
        <w:rPr>
          <w:rFonts w:asciiTheme="minorHAnsi" w:hAnsiTheme="minorHAnsi" w:cstheme="minorHAnsi"/>
        </w:rPr>
        <w:t>able nitrogen should be included.</w:t>
      </w:r>
    </w:p>
    <w:p w14:paraId="04C69914" w14:textId="49503215" w:rsidR="00EA2CE3" w:rsidRPr="00EB1D71" w:rsidRDefault="00EA2CE3" w:rsidP="00957A0F">
      <w:pPr>
        <w:pStyle w:val="Caption"/>
        <w:keepNext/>
        <w:keepLines/>
        <w:rPr>
          <w:rFonts w:asciiTheme="minorHAnsi" w:hAnsiTheme="minorHAnsi" w:cstheme="minorHAnsi"/>
        </w:rPr>
      </w:pPr>
      <w:bookmarkStart w:id="94" w:name="_Ref221873716"/>
      <w:bookmarkStart w:id="95" w:name="_Ref226118711"/>
      <w:bookmarkStart w:id="96" w:name="_Toc228622133"/>
      <w:r w:rsidRPr="00EB1D71">
        <w:rPr>
          <w:rFonts w:asciiTheme="minorHAnsi" w:hAnsiTheme="minorHAnsi" w:cstheme="minorHAnsi"/>
        </w:rPr>
        <w:lastRenderedPageBreak/>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9</w:t>
      </w:r>
      <w:r w:rsidR="007D3945">
        <w:rPr>
          <w:rFonts w:asciiTheme="minorHAnsi" w:hAnsiTheme="minorHAnsi" w:cstheme="minorHAnsi"/>
        </w:rPr>
        <w:fldChar w:fldCharType="end"/>
      </w:r>
      <w:bookmarkEnd w:id="94"/>
      <w:r w:rsidRPr="00EB1D71">
        <w:rPr>
          <w:rFonts w:asciiTheme="minorHAnsi" w:hAnsiTheme="minorHAnsi" w:cstheme="minorHAnsi"/>
          <w:noProof/>
        </w:rPr>
        <w:t>.</w:t>
      </w:r>
      <w:r w:rsidRPr="00EB1D71">
        <w:rPr>
          <w:rFonts w:asciiTheme="minorHAnsi" w:hAnsiTheme="minorHAnsi" w:cstheme="minorHAnsi"/>
        </w:rPr>
        <w:t xml:space="preserve"> Menti score results from two industry workshops for each shortlisted indicator (PMN, Active C POXC</w:t>
      </w:r>
      <w:r w:rsidR="00BE71EB" w:rsidRPr="00EB1D71">
        <w:rPr>
          <w:rFonts w:asciiTheme="minorHAnsi" w:hAnsiTheme="minorHAnsi" w:cstheme="minorHAnsi"/>
        </w:rPr>
        <w:t>,</w:t>
      </w:r>
      <w:r w:rsidRPr="00EB1D71">
        <w:rPr>
          <w:rFonts w:asciiTheme="minorHAnsi" w:hAnsiTheme="minorHAnsi" w:cstheme="minorHAnsi"/>
        </w:rPr>
        <w:t xml:space="preserve">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and aggregate stability). Participants were asked to vote whether the indicator should </w:t>
      </w:r>
      <w:proofErr w:type="gramStart"/>
      <w:r w:rsidR="00DB3554" w:rsidRPr="00EB1D71">
        <w:rPr>
          <w:rFonts w:asciiTheme="minorHAnsi" w:hAnsiTheme="minorHAnsi" w:cstheme="minorHAnsi"/>
        </w:rPr>
        <w:t>definitely be</w:t>
      </w:r>
      <w:proofErr w:type="gramEnd"/>
      <w:r w:rsidR="00DB3554" w:rsidRPr="00EB1D71">
        <w:rPr>
          <w:rFonts w:asciiTheme="minorHAnsi" w:hAnsiTheme="minorHAnsi" w:cstheme="minorHAnsi"/>
        </w:rPr>
        <w:t xml:space="preserve"> </w:t>
      </w:r>
      <w:r w:rsidRPr="00EB1D71">
        <w:rPr>
          <w:rFonts w:asciiTheme="minorHAnsi" w:hAnsiTheme="minorHAnsi" w:cstheme="minorHAnsi"/>
        </w:rPr>
        <w:t xml:space="preserve">included (light blue bars), </w:t>
      </w:r>
      <w:proofErr w:type="gramStart"/>
      <w:r w:rsidR="00DB3554" w:rsidRPr="00EB1D71">
        <w:rPr>
          <w:rFonts w:asciiTheme="minorHAnsi" w:hAnsiTheme="minorHAnsi" w:cstheme="minorHAnsi"/>
        </w:rPr>
        <w:t>definitely be</w:t>
      </w:r>
      <w:proofErr w:type="gramEnd"/>
      <w:r w:rsidR="00DB3554" w:rsidRPr="00EB1D71">
        <w:rPr>
          <w:rFonts w:asciiTheme="minorHAnsi" w:hAnsiTheme="minorHAnsi" w:cstheme="minorHAnsi"/>
        </w:rPr>
        <w:t xml:space="preserve"> </w:t>
      </w:r>
      <w:r w:rsidRPr="00EB1D71">
        <w:rPr>
          <w:rFonts w:asciiTheme="minorHAnsi" w:hAnsiTheme="minorHAnsi" w:cstheme="minorHAnsi"/>
        </w:rPr>
        <w:t>excluded (dark blue bars) or they “don’t have enough knowledge to say” (green bars)</w:t>
      </w:r>
      <w:bookmarkEnd w:id="95"/>
      <w:bookmarkEnd w:id="96"/>
    </w:p>
    <w:p w14:paraId="51EB4A96" w14:textId="77777777" w:rsidR="00EA2CE3" w:rsidRPr="00EB1D71" w:rsidRDefault="00EA2CE3" w:rsidP="00EA2CE3">
      <w:pPr>
        <w:rPr>
          <w:rFonts w:asciiTheme="minorHAnsi" w:hAnsiTheme="minorHAnsi" w:cstheme="minorHAnsi"/>
        </w:rPr>
      </w:pPr>
      <w:r w:rsidRPr="00EB1D71">
        <w:rPr>
          <w:rFonts w:asciiTheme="minorHAnsi" w:hAnsiTheme="minorHAnsi" w:cstheme="minorHAnsi"/>
          <w:noProof/>
        </w:rPr>
        <w:drawing>
          <wp:inline distT="0" distB="0" distL="0" distR="0" wp14:anchorId="76BCDEE5" wp14:editId="3C32A2BD">
            <wp:extent cx="5759450" cy="3313784"/>
            <wp:effectExtent l="0" t="0" r="12700" b="1270"/>
            <wp:docPr id="120933722" name="Chart 1" descr="Bar chart showing workshop results for soil health indicators, with strong support for including shovelomics and aggregate stability, and more uncertainty for PMN and active carbon.">
              <a:extLst xmlns:a="http://schemas.openxmlformats.org/drawingml/2006/main">
                <a:ext uri="{FF2B5EF4-FFF2-40B4-BE49-F238E27FC236}">
                  <a16:creationId xmlns:a16="http://schemas.microsoft.com/office/drawing/2014/main" id="{D30E1710-ACF4-8EB2-5501-1FB835B65E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D2F0129" w14:textId="5F3211C7" w:rsidR="004D3CBB" w:rsidRPr="004D3CBB" w:rsidRDefault="004D3CBB" w:rsidP="004D3CBB">
      <w:pPr>
        <w:rPr>
          <w:rFonts w:asciiTheme="minorHAnsi" w:hAnsiTheme="minorHAnsi" w:cstheme="minorHAnsi"/>
        </w:rPr>
      </w:pPr>
      <w:r>
        <w:rPr>
          <w:rFonts w:asciiTheme="minorHAnsi" w:hAnsiTheme="minorHAnsi" w:cstheme="minorHAnsi"/>
        </w:rPr>
        <w:t>Figure 9</w:t>
      </w:r>
      <w:r w:rsidRPr="004D3CBB">
        <w:rPr>
          <w:rFonts w:asciiTheme="minorHAnsi" w:hAnsiTheme="minorHAnsi" w:cstheme="minorHAnsi"/>
        </w:rPr>
        <w:t xml:space="preserve"> shows the number of votes for each indicator across three response options:</w:t>
      </w:r>
    </w:p>
    <w:p w14:paraId="02BDC690" w14:textId="77777777" w:rsidR="004D3CBB" w:rsidRPr="00642293" w:rsidRDefault="004D3CBB" w:rsidP="00642293">
      <w:pPr>
        <w:pStyle w:val="ListParagraph"/>
        <w:numPr>
          <w:ilvl w:val="0"/>
          <w:numId w:val="40"/>
        </w:numPr>
        <w:rPr>
          <w:rFonts w:asciiTheme="minorHAnsi" w:hAnsiTheme="minorHAnsi" w:cstheme="minorHAnsi"/>
        </w:rPr>
      </w:pPr>
      <w:proofErr w:type="gramStart"/>
      <w:r w:rsidRPr="00642293">
        <w:rPr>
          <w:rFonts w:asciiTheme="minorHAnsi" w:hAnsiTheme="minorHAnsi" w:cstheme="minorHAnsi"/>
        </w:rPr>
        <w:t>Definitely include</w:t>
      </w:r>
      <w:proofErr w:type="gramEnd"/>
      <w:r w:rsidRPr="00642293">
        <w:rPr>
          <w:rFonts w:asciiTheme="minorHAnsi" w:hAnsiTheme="minorHAnsi" w:cstheme="minorHAnsi"/>
        </w:rPr>
        <w:t xml:space="preserve"> (light blue bars)</w:t>
      </w:r>
    </w:p>
    <w:p w14:paraId="45773903" w14:textId="77777777" w:rsidR="004D3CBB" w:rsidRPr="00642293" w:rsidRDefault="004D3CBB" w:rsidP="00642293">
      <w:pPr>
        <w:pStyle w:val="ListParagraph"/>
        <w:numPr>
          <w:ilvl w:val="0"/>
          <w:numId w:val="40"/>
        </w:numPr>
        <w:rPr>
          <w:rFonts w:asciiTheme="minorHAnsi" w:hAnsiTheme="minorHAnsi" w:cstheme="minorHAnsi"/>
        </w:rPr>
      </w:pPr>
      <w:proofErr w:type="gramStart"/>
      <w:r w:rsidRPr="00642293">
        <w:rPr>
          <w:rFonts w:asciiTheme="minorHAnsi" w:hAnsiTheme="minorHAnsi" w:cstheme="minorHAnsi"/>
        </w:rPr>
        <w:t>Definitely exclude</w:t>
      </w:r>
      <w:proofErr w:type="gramEnd"/>
      <w:r w:rsidRPr="00642293">
        <w:rPr>
          <w:rFonts w:asciiTheme="minorHAnsi" w:hAnsiTheme="minorHAnsi" w:cstheme="minorHAnsi"/>
        </w:rPr>
        <w:t xml:space="preserve"> (dark bars)</w:t>
      </w:r>
    </w:p>
    <w:p w14:paraId="09D2F280" w14:textId="77777777" w:rsidR="004D3CBB" w:rsidRPr="00642293" w:rsidRDefault="004D3CBB" w:rsidP="00642293">
      <w:pPr>
        <w:pStyle w:val="ListParagraph"/>
        <w:numPr>
          <w:ilvl w:val="0"/>
          <w:numId w:val="40"/>
        </w:numPr>
        <w:rPr>
          <w:rFonts w:asciiTheme="minorHAnsi" w:hAnsiTheme="minorHAnsi" w:cstheme="minorHAnsi"/>
        </w:rPr>
      </w:pPr>
      <w:r w:rsidRPr="00642293">
        <w:rPr>
          <w:rFonts w:asciiTheme="minorHAnsi" w:hAnsiTheme="minorHAnsi" w:cstheme="minorHAnsi"/>
        </w:rPr>
        <w:t>Don’t have enough knowledge to say (green bars)</w:t>
      </w:r>
    </w:p>
    <w:p w14:paraId="2F3C43FB" w14:textId="77777777" w:rsidR="004D3CBB" w:rsidRPr="004D3CBB" w:rsidRDefault="004D3CBB" w:rsidP="004D3CBB">
      <w:pPr>
        <w:rPr>
          <w:rFonts w:asciiTheme="minorHAnsi" w:hAnsiTheme="minorHAnsi" w:cstheme="minorHAnsi"/>
        </w:rPr>
      </w:pPr>
      <w:r w:rsidRPr="004D3CBB">
        <w:rPr>
          <w:rFonts w:asciiTheme="minorHAnsi" w:hAnsiTheme="minorHAnsi" w:cstheme="minorHAnsi"/>
        </w:rPr>
        <w:t>Results by indicator:</w:t>
      </w:r>
    </w:p>
    <w:p w14:paraId="0A2DD55B" w14:textId="77777777" w:rsidR="004D3CBB" w:rsidRPr="004D3CBB" w:rsidRDefault="004D3CBB" w:rsidP="004D3CBB">
      <w:pPr>
        <w:rPr>
          <w:rFonts w:asciiTheme="minorHAnsi" w:hAnsiTheme="minorHAnsi" w:cstheme="minorHAnsi"/>
        </w:rPr>
      </w:pPr>
      <w:r w:rsidRPr="004D3CBB">
        <w:rPr>
          <w:rFonts w:asciiTheme="minorHAnsi" w:hAnsiTheme="minorHAnsi" w:cstheme="minorHAnsi"/>
        </w:rPr>
        <w:t>PMN</w:t>
      </w:r>
    </w:p>
    <w:p w14:paraId="1CF5C5F6" w14:textId="77777777" w:rsidR="004D3CBB" w:rsidRPr="00642293" w:rsidRDefault="004D3CBB" w:rsidP="00642293">
      <w:pPr>
        <w:pStyle w:val="ListParagraph"/>
        <w:numPr>
          <w:ilvl w:val="0"/>
          <w:numId w:val="41"/>
        </w:numPr>
        <w:rPr>
          <w:rFonts w:asciiTheme="minorHAnsi" w:hAnsiTheme="minorHAnsi" w:cstheme="minorHAnsi"/>
        </w:rPr>
      </w:pPr>
      <w:r w:rsidRPr="00642293">
        <w:rPr>
          <w:rFonts w:asciiTheme="minorHAnsi" w:hAnsiTheme="minorHAnsi" w:cstheme="minorHAnsi"/>
        </w:rPr>
        <w:t>More respondents said they did not have enough knowledge than supported inclusion</w:t>
      </w:r>
    </w:p>
    <w:p w14:paraId="1BB82032" w14:textId="77777777" w:rsidR="004D3CBB" w:rsidRPr="00642293" w:rsidRDefault="004D3CBB" w:rsidP="00642293">
      <w:pPr>
        <w:pStyle w:val="ListParagraph"/>
        <w:numPr>
          <w:ilvl w:val="0"/>
          <w:numId w:val="41"/>
        </w:numPr>
        <w:rPr>
          <w:rFonts w:asciiTheme="minorHAnsi" w:hAnsiTheme="minorHAnsi" w:cstheme="minorHAnsi"/>
        </w:rPr>
      </w:pPr>
      <w:r w:rsidRPr="00642293">
        <w:rPr>
          <w:rFonts w:asciiTheme="minorHAnsi" w:hAnsiTheme="minorHAnsi" w:cstheme="minorHAnsi"/>
        </w:rPr>
        <w:t>Smaller numbers supported inclusion or exclusion</w:t>
      </w:r>
    </w:p>
    <w:p w14:paraId="77AFC05B" w14:textId="77777777" w:rsidR="004D3CBB" w:rsidRPr="004D3CBB" w:rsidRDefault="004D3CBB" w:rsidP="004D3CBB">
      <w:pPr>
        <w:rPr>
          <w:rFonts w:asciiTheme="minorHAnsi" w:hAnsiTheme="minorHAnsi" w:cstheme="minorHAnsi"/>
        </w:rPr>
      </w:pPr>
      <w:r w:rsidRPr="004D3CBB">
        <w:rPr>
          <w:rFonts w:asciiTheme="minorHAnsi" w:hAnsiTheme="minorHAnsi" w:cstheme="minorHAnsi"/>
        </w:rPr>
        <w:t>Active carbon (POXC)</w:t>
      </w:r>
    </w:p>
    <w:p w14:paraId="63264677" w14:textId="77777777" w:rsidR="004D3CBB" w:rsidRPr="00642293" w:rsidRDefault="004D3CBB" w:rsidP="00642293">
      <w:pPr>
        <w:pStyle w:val="ListParagraph"/>
        <w:numPr>
          <w:ilvl w:val="0"/>
          <w:numId w:val="42"/>
        </w:numPr>
        <w:rPr>
          <w:rFonts w:asciiTheme="minorHAnsi" w:hAnsiTheme="minorHAnsi" w:cstheme="minorHAnsi"/>
        </w:rPr>
      </w:pPr>
      <w:proofErr w:type="gramStart"/>
      <w:r w:rsidRPr="00642293">
        <w:rPr>
          <w:rFonts w:asciiTheme="minorHAnsi" w:hAnsiTheme="minorHAnsi" w:cstheme="minorHAnsi"/>
        </w:rPr>
        <w:t>Similar to</w:t>
      </w:r>
      <w:proofErr w:type="gramEnd"/>
      <w:r w:rsidRPr="00642293">
        <w:rPr>
          <w:rFonts w:asciiTheme="minorHAnsi" w:hAnsiTheme="minorHAnsi" w:cstheme="minorHAnsi"/>
        </w:rPr>
        <w:t xml:space="preserve"> PMN, with many respondents unsure</w:t>
      </w:r>
    </w:p>
    <w:p w14:paraId="4E6A2DEE" w14:textId="77777777" w:rsidR="004D3CBB" w:rsidRPr="00642293" w:rsidRDefault="004D3CBB" w:rsidP="00642293">
      <w:pPr>
        <w:pStyle w:val="ListParagraph"/>
        <w:numPr>
          <w:ilvl w:val="0"/>
          <w:numId w:val="42"/>
        </w:numPr>
        <w:rPr>
          <w:rFonts w:asciiTheme="minorHAnsi" w:hAnsiTheme="minorHAnsi" w:cstheme="minorHAnsi"/>
        </w:rPr>
      </w:pPr>
      <w:r w:rsidRPr="00642293">
        <w:rPr>
          <w:rFonts w:asciiTheme="minorHAnsi" w:hAnsiTheme="minorHAnsi" w:cstheme="minorHAnsi"/>
        </w:rPr>
        <w:t>Fewer votes for inclusion or exclusion</w:t>
      </w:r>
    </w:p>
    <w:p w14:paraId="78DE5A92" w14:textId="77777777" w:rsidR="004D3CBB" w:rsidRPr="004D3CBB" w:rsidRDefault="004D3CBB" w:rsidP="004D3CBB">
      <w:pPr>
        <w:rPr>
          <w:rFonts w:asciiTheme="minorHAnsi" w:hAnsiTheme="minorHAnsi" w:cstheme="minorHAnsi"/>
        </w:rPr>
      </w:pPr>
      <w:proofErr w:type="spellStart"/>
      <w:r w:rsidRPr="004D3CBB">
        <w:rPr>
          <w:rFonts w:asciiTheme="minorHAnsi" w:hAnsiTheme="minorHAnsi" w:cstheme="minorHAnsi"/>
        </w:rPr>
        <w:t>Shovelomics</w:t>
      </w:r>
      <w:proofErr w:type="spellEnd"/>
    </w:p>
    <w:p w14:paraId="590EE49E" w14:textId="77777777" w:rsidR="004D3CBB" w:rsidRPr="00642293" w:rsidRDefault="004D3CBB" w:rsidP="00642293">
      <w:pPr>
        <w:pStyle w:val="ListParagraph"/>
        <w:numPr>
          <w:ilvl w:val="0"/>
          <w:numId w:val="43"/>
        </w:numPr>
        <w:rPr>
          <w:rFonts w:asciiTheme="minorHAnsi" w:hAnsiTheme="minorHAnsi" w:cstheme="minorHAnsi"/>
        </w:rPr>
      </w:pPr>
      <w:r w:rsidRPr="00642293">
        <w:rPr>
          <w:rFonts w:asciiTheme="minorHAnsi" w:hAnsiTheme="minorHAnsi" w:cstheme="minorHAnsi"/>
        </w:rPr>
        <w:t>Strong support for inclusion (largest bar in this category)</w:t>
      </w:r>
    </w:p>
    <w:p w14:paraId="2B6561C2" w14:textId="77777777" w:rsidR="004D3CBB" w:rsidRPr="00DF1350" w:rsidRDefault="004D3CBB" w:rsidP="00642293">
      <w:pPr>
        <w:pStyle w:val="ListParagraph"/>
        <w:numPr>
          <w:ilvl w:val="0"/>
          <w:numId w:val="43"/>
        </w:numPr>
        <w:rPr>
          <w:rFonts w:asciiTheme="minorHAnsi" w:hAnsiTheme="minorHAnsi" w:cstheme="minorHAnsi"/>
        </w:rPr>
      </w:pPr>
      <w:r w:rsidRPr="00642293">
        <w:rPr>
          <w:rFonts w:asciiTheme="minorHAnsi" w:hAnsiTheme="minorHAnsi" w:cstheme="minorHAnsi"/>
        </w:rPr>
        <w:t>Very few votes for exclusion or uncertainty</w:t>
      </w:r>
    </w:p>
    <w:p w14:paraId="0CA5ED70" w14:textId="77777777" w:rsidR="004D3CBB" w:rsidRPr="004D3CBB" w:rsidRDefault="004D3CBB" w:rsidP="004D3CBB">
      <w:pPr>
        <w:rPr>
          <w:rFonts w:asciiTheme="minorHAnsi" w:hAnsiTheme="minorHAnsi" w:cstheme="minorHAnsi"/>
        </w:rPr>
      </w:pPr>
      <w:r w:rsidRPr="004D3CBB">
        <w:rPr>
          <w:rFonts w:asciiTheme="minorHAnsi" w:hAnsiTheme="minorHAnsi" w:cstheme="minorHAnsi"/>
        </w:rPr>
        <w:t>Aggregate stability</w:t>
      </w:r>
    </w:p>
    <w:p w14:paraId="146BD536" w14:textId="77777777" w:rsidR="004D3CBB" w:rsidRPr="00DF1350" w:rsidRDefault="004D3CBB" w:rsidP="00DF1350">
      <w:pPr>
        <w:pStyle w:val="ListParagraph"/>
        <w:numPr>
          <w:ilvl w:val="0"/>
          <w:numId w:val="44"/>
        </w:numPr>
        <w:rPr>
          <w:rFonts w:asciiTheme="minorHAnsi" w:hAnsiTheme="minorHAnsi" w:cstheme="minorHAnsi"/>
        </w:rPr>
      </w:pPr>
      <w:r w:rsidRPr="00DF1350">
        <w:rPr>
          <w:rFonts w:asciiTheme="minorHAnsi" w:hAnsiTheme="minorHAnsi" w:cstheme="minorHAnsi"/>
        </w:rPr>
        <w:t>Also strongly supported for inclusion</w:t>
      </w:r>
    </w:p>
    <w:p w14:paraId="07DF3889" w14:textId="77777777" w:rsidR="004D3CBB" w:rsidRPr="00DF1350" w:rsidRDefault="004D3CBB" w:rsidP="00DF1350">
      <w:pPr>
        <w:pStyle w:val="ListParagraph"/>
        <w:numPr>
          <w:ilvl w:val="0"/>
          <w:numId w:val="44"/>
        </w:numPr>
        <w:rPr>
          <w:rFonts w:asciiTheme="minorHAnsi" w:hAnsiTheme="minorHAnsi" w:cstheme="minorHAnsi"/>
        </w:rPr>
      </w:pPr>
      <w:r w:rsidRPr="00DF1350">
        <w:rPr>
          <w:rFonts w:asciiTheme="minorHAnsi" w:hAnsiTheme="minorHAnsi" w:cstheme="minorHAnsi"/>
        </w:rPr>
        <w:t>Minimal votes for exclusion or uncertainty</w:t>
      </w:r>
    </w:p>
    <w:p w14:paraId="1C61502D" w14:textId="7412A5DC" w:rsidR="004D3CBB" w:rsidRPr="004D3CBB" w:rsidRDefault="00DF1350" w:rsidP="004D3CBB">
      <w:pPr>
        <w:rPr>
          <w:rFonts w:asciiTheme="minorHAnsi" w:hAnsiTheme="minorHAnsi" w:cstheme="minorHAnsi"/>
        </w:rPr>
      </w:pPr>
      <w:r>
        <w:rPr>
          <w:rFonts w:asciiTheme="minorHAnsi" w:hAnsiTheme="minorHAnsi" w:cstheme="minorHAnsi"/>
        </w:rPr>
        <w:t>Overall pattern</w:t>
      </w:r>
      <w:r w:rsidR="004D3CBB" w:rsidRPr="004D3CBB">
        <w:rPr>
          <w:rFonts w:asciiTheme="minorHAnsi" w:hAnsiTheme="minorHAnsi" w:cstheme="minorHAnsi"/>
        </w:rPr>
        <w:t>:</w:t>
      </w:r>
    </w:p>
    <w:p w14:paraId="28C17C0E" w14:textId="77777777" w:rsidR="004D3CBB" w:rsidRPr="004D3CBB" w:rsidRDefault="004D3CBB" w:rsidP="004D3CBB">
      <w:pPr>
        <w:rPr>
          <w:rFonts w:asciiTheme="minorHAnsi" w:hAnsiTheme="minorHAnsi" w:cstheme="minorHAnsi"/>
        </w:rPr>
      </w:pPr>
      <w:r w:rsidRPr="004D3CBB">
        <w:rPr>
          <w:rFonts w:asciiTheme="minorHAnsi" w:hAnsiTheme="minorHAnsi" w:cstheme="minorHAnsi"/>
        </w:rPr>
        <w:t>Practical, field-based indicators (</w:t>
      </w:r>
      <w:proofErr w:type="spellStart"/>
      <w:r w:rsidRPr="004D3CBB">
        <w:rPr>
          <w:rFonts w:asciiTheme="minorHAnsi" w:hAnsiTheme="minorHAnsi" w:cstheme="minorHAnsi"/>
        </w:rPr>
        <w:t>shovelomics</w:t>
      </w:r>
      <w:proofErr w:type="spellEnd"/>
      <w:r w:rsidRPr="004D3CBB">
        <w:rPr>
          <w:rFonts w:asciiTheme="minorHAnsi" w:hAnsiTheme="minorHAnsi" w:cstheme="minorHAnsi"/>
        </w:rPr>
        <w:t xml:space="preserve"> and aggregate stability) are strongly supported.</w:t>
      </w:r>
    </w:p>
    <w:p w14:paraId="4A9950C8" w14:textId="21C0DAE3" w:rsidR="00EA2CE3" w:rsidRPr="00EB1D71" w:rsidRDefault="004D3CBB" w:rsidP="004D3CBB">
      <w:pPr>
        <w:rPr>
          <w:rFonts w:asciiTheme="minorHAnsi" w:hAnsiTheme="minorHAnsi" w:cstheme="minorHAnsi"/>
        </w:rPr>
      </w:pPr>
      <w:r w:rsidRPr="004D3CBB">
        <w:rPr>
          <w:rFonts w:asciiTheme="minorHAnsi" w:hAnsiTheme="minorHAnsi" w:cstheme="minorHAnsi"/>
        </w:rPr>
        <w:lastRenderedPageBreak/>
        <w:t>Indicators like PMN and active carbon have higher uncertainty, with many respondents unsure how to assess them.</w:t>
      </w:r>
    </w:p>
    <w:p w14:paraId="57F88F29" w14:textId="77777777" w:rsidR="006329C4" w:rsidRPr="00EB1D71" w:rsidRDefault="006329C4" w:rsidP="006329C4">
      <w:pPr>
        <w:rPr>
          <w:rFonts w:asciiTheme="minorHAnsi" w:hAnsiTheme="minorHAnsi" w:cstheme="minorHAnsi"/>
        </w:rPr>
      </w:pPr>
      <w:r w:rsidRPr="00EB1D71">
        <w:rPr>
          <w:rFonts w:asciiTheme="minorHAnsi" w:hAnsiTheme="minorHAnsi" w:cstheme="minorHAnsi"/>
        </w:rPr>
        <w:t>The next steps in the project were discussed in a meeting with the AHDB and the project delivery team, bearing in mind the original project aims to:</w:t>
      </w:r>
    </w:p>
    <w:p w14:paraId="75990583" w14:textId="77777777" w:rsidR="006329C4" w:rsidRPr="00EB1D71" w:rsidRDefault="006329C4" w:rsidP="006329C4">
      <w:pPr>
        <w:ind w:left="720"/>
        <w:rPr>
          <w:rFonts w:asciiTheme="minorHAnsi" w:hAnsiTheme="minorHAnsi" w:cstheme="minorHAnsi"/>
          <w:i/>
          <w:iCs/>
        </w:rPr>
      </w:pPr>
      <w:r w:rsidRPr="00EB1D71">
        <w:rPr>
          <w:rFonts w:asciiTheme="minorHAnsi" w:hAnsiTheme="minorHAnsi" w:cstheme="minorHAnsi"/>
          <w:i/>
          <w:iCs/>
        </w:rPr>
        <w:t xml:space="preserve">Provide information to support levy-payers in measuring and monitoring soil health on their own farms, based on an improved understanding of which metrics </w:t>
      </w:r>
      <w:proofErr w:type="spellStart"/>
      <w:r w:rsidRPr="00EB1D71">
        <w:rPr>
          <w:rFonts w:asciiTheme="minorHAnsi" w:hAnsiTheme="minorHAnsi" w:cstheme="minorHAnsi"/>
          <w:i/>
          <w:iCs/>
        </w:rPr>
        <w:t>i</w:t>
      </w:r>
      <w:proofErr w:type="spellEnd"/>
      <w:r w:rsidRPr="00EB1D71">
        <w:rPr>
          <w:rFonts w:asciiTheme="minorHAnsi" w:hAnsiTheme="minorHAnsi" w:cstheme="minorHAnsi"/>
          <w:i/>
          <w:iCs/>
        </w:rPr>
        <w:t>) are most practicably suited as sensitive yet robust early indicators of change, backed by validated data, and ii) can be further integrated as an interim measure into a longer-term on-farm soil monitoring regime.</w:t>
      </w:r>
    </w:p>
    <w:p w14:paraId="09E23D66" w14:textId="77777777" w:rsidR="00F041A1" w:rsidRPr="00EB1D71" w:rsidRDefault="00F041A1" w:rsidP="00F041A1">
      <w:pPr>
        <w:rPr>
          <w:rFonts w:asciiTheme="minorHAnsi" w:hAnsiTheme="minorHAnsi" w:cstheme="minorHAnsi"/>
        </w:rPr>
      </w:pPr>
      <w:r w:rsidRPr="00EB1D71">
        <w:rPr>
          <w:rFonts w:asciiTheme="minorHAnsi" w:hAnsiTheme="minorHAnsi" w:cstheme="minorHAnsi"/>
        </w:rPr>
        <w:t>With outputs used to:</w:t>
      </w:r>
    </w:p>
    <w:p w14:paraId="475A22FC" w14:textId="77777777" w:rsidR="00F041A1" w:rsidRPr="00EB1D71" w:rsidRDefault="00F041A1" w:rsidP="00F041A1">
      <w:pPr>
        <w:ind w:left="720"/>
        <w:rPr>
          <w:rFonts w:asciiTheme="minorHAnsi" w:hAnsiTheme="minorHAnsi" w:cstheme="minorHAnsi"/>
          <w:i/>
          <w:iCs/>
        </w:rPr>
      </w:pPr>
      <w:r w:rsidRPr="00EB1D71">
        <w:rPr>
          <w:rFonts w:asciiTheme="minorHAnsi" w:hAnsiTheme="minorHAnsi" w:cstheme="minorHAnsi"/>
          <w:i/>
          <w:iCs/>
        </w:rPr>
        <w:t>update AHDB guidance for farmers on practical soil health assessments and… to complement the AHDB soil health scorecard.</w:t>
      </w:r>
    </w:p>
    <w:p w14:paraId="6C6F5C5F" w14:textId="77777777" w:rsidR="00F041A1" w:rsidRPr="00EB1D71" w:rsidRDefault="00F041A1" w:rsidP="007E0F91">
      <w:pPr>
        <w:rPr>
          <w:rFonts w:asciiTheme="minorHAnsi" w:hAnsiTheme="minorHAnsi" w:cstheme="minorHAnsi"/>
        </w:rPr>
      </w:pPr>
      <w:r w:rsidRPr="00EB1D71">
        <w:rPr>
          <w:rFonts w:asciiTheme="minorHAnsi" w:hAnsiTheme="minorHAnsi" w:cstheme="minorHAnsi"/>
        </w:rPr>
        <w:t xml:space="preserve">In this meeting the outcomes of the stakeholder workshops as well as feedback from the industry reference group and the evidence review were discussed. </w:t>
      </w:r>
    </w:p>
    <w:p w14:paraId="79AA1054" w14:textId="77777777" w:rsidR="00F041A1" w:rsidRPr="00EB1D71" w:rsidRDefault="00F041A1" w:rsidP="007E0F91">
      <w:pPr>
        <w:rPr>
          <w:rFonts w:asciiTheme="minorHAnsi" w:hAnsiTheme="minorHAnsi" w:cstheme="minorHAnsi"/>
        </w:rPr>
      </w:pPr>
      <w:proofErr w:type="gramStart"/>
      <w:r w:rsidRPr="00EB1D71">
        <w:rPr>
          <w:rFonts w:asciiTheme="minorHAnsi" w:hAnsiTheme="minorHAnsi" w:cstheme="minorHAnsi"/>
        </w:rPr>
        <w:t>In spite of</w:t>
      </w:r>
      <w:proofErr w:type="gramEnd"/>
      <w:r w:rsidRPr="00EB1D71">
        <w:rPr>
          <w:rFonts w:asciiTheme="minorHAnsi" w:hAnsiTheme="minorHAnsi" w:cstheme="minorHAnsi"/>
        </w:rPr>
        <w:t xml:space="preserve"> the stakeholders’ positive response to the information presented on crop rooting/</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there were some legitimate limitations which resulted in agreement not to include this as a recommended early indicator to monitor changes in soil health. The principal concern related to the limited number of crops with a defined protocol for this method. To date, guidance has only been provided in the UK for cereals. There are published protocols for beans, but the method has not been trialled in the UK yet in pulses. There are also protocols available for maize, but area planted to maize in the UK is limited. Since an early indicator to monitor changes to soil health would need to be evaluated every year, it is unlikely that the same crop (apart from in intensive arable rotations) would be grown in the same field every year; making the applicability of a crop-specific indicator for use as a short-term indicator impractical. It was therefore agreed that only signposting to materials on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would be provided by the AHDB: specifically, to the factsheet and guidance produced by the TRUTH project </w:t>
      </w:r>
      <w:sdt>
        <w:sdtPr>
          <w:rPr>
            <w:rFonts w:asciiTheme="minorHAnsi" w:hAnsiTheme="minorHAnsi" w:cstheme="minorHAnsi"/>
            <w:color w:val="000000"/>
          </w:rPr>
          <w:tag w:val="MENDELEY_CITATION_v3_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"/>
          <w:id w:val="-2905548"/>
          <w:placeholder>
            <w:docPart w:val="D5257E00441A4A8CA20269166D0C4664"/>
          </w:placeholder>
        </w:sdtPr>
        <w:sdtEndPr/>
        <w:sdtContent>
          <w:r w:rsidRPr="00EB1D71">
            <w:rPr>
              <w:rFonts w:asciiTheme="minorHAnsi" w:hAnsiTheme="minorHAnsi" w:cstheme="minorHAnsi"/>
              <w:color w:val="000000"/>
            </w:rPr>
            <w:t>(Anon, n.d.)</w:t>
          </w:r>
        </w:sdtContent>
      </w:sdt>
      <w:r w:rsidRPr="00EB1D71">
        <w:rPr>
          <w:rFonts w:asciiTheme="minorHAnsi" w:hAnsiTheme="minorHAnsi" w:cstheme="minorHAnsi"/>
        </w:rPr>
        <w:t>.</w:t>
      </w:r>
    </w:p>
    <w:p w14:paraId="45928135" w14:textId="77777777" w:rsidR="00F041A1" w:rsidRPr="00EB1D71" w:rsidRDefault="00F041A1" w:rsidP="007E0F91">
      <w:pPr>
        <w:rPr>
          <w:rFonts w:asciiTheme="minorHAnsi" w:hAnsiTheme="minorHAnsi" w:cstheme="minorHAnsi"/>
        </w:rPr>
      </w:pPr>
      <w:r w:rsidRPr="00EB1D71">
        <w:rPr>
          <w:rFonts w:asciiTheme="minorHAnsi" w:hAnsiTheme="minorHAnsi" w:cstheme="minorHAnsi"/>
        </w:rPr>
        <w:t>The clear messaging from the stakeholders on aggregate stability resulted in this being a priority for development of updated guidance material. It was agreed to provide a factsheet explaining the importance of aggregate stability in general, with more specific guidance on using slake testing for farmer-led assessments. Reference would be made to the different apps available for on-farm assessments.</w:t>
      </w:r>
    </w:p>
    <w:p w14:paraId="55D9A07A" w14:textId="29515AD3" w:rsidR="00957A0F" w:rsidRDefault="00F041A1" w:rsidP="007E0F91">
      <w:pPr>
        <w:rPr>
          <w:rFonts w:asciiTheme="minorHAnsi" w:hAnsiTheme="minorHAnsi" w:cstheme="minorHAnsi"/>
        </w:rPr>
      </w:pPr>
      <w:r w:rsidRPr="00EB1D71">
        <w:rPr>
          <w:rFonts w:asciiTheme="minorHAnsi" w:hAnsiTheme="minorHAnsi" w:cstheme="minorHAnsi"/>
        </w:rPr>
        <w:t xml:space="preserve">A decision was made to produce factsheets on both active carbon (permanganate oxidisable carbon </w:t>
      </w:r>
      <w:r w:rsidR="002665B3" w:rsidRPr="00EB1D71">
        <w:rPr>
          <w:rFonts w:asciiTheme="minorHAnsi" w:hAnsiTheme="minorHAnsi" w:cstheme="minorHAnsi"/>
        </w:rPr>
        <w:t>method (</w:t>
      </w:r>
      <w:r w:rsidRPr="00EB1D71">
        <w:rPr>
          <w:rFonts w:asciiTheme="minorHAnsi" w:hAnsiTheme="minorHAnsi" w:cstheme="minorHAnsi"/>
        </w:rPr>
        <w:t xml:space="preserve">POXC) and potentially </w:t>
      </w:r>
      <w:proofErr w:type="spellStart"/>
      <w:r w:rsidRPr="00EB1D71">
        <w:rPr>
          <w:rFonts w:asciiTheme="minorHAnsi" w:hAnsiTheme="minorHAnsi" w:cstheme="minorHAnsi"/>
        </w:rPr>
        <w:t>minerali</w:t>
      </w:r>
      <w:r w:rsidR="008D4BCE" w:rsidRPr="00EB1D71">
        <w:rPr>
          <w:rFonts w:asciiTheme="minorHAnsi" w:hAnsiTheme="minorHAnsi" w:cstheme="minorHAnsi"/>
        </w:rPr>
        <w:t>s</w:t>
      </w:r>
      <w:r w:rsidRPr="00EB1D71">
        <w:rPr>
          <w:rFonts w:asciiTheme="minorHAnsi" w:hAnsiTheme="minorHAnsi" w:cstheme="minorHAnsi"/>
        </w:rPr>
        <w:t>able</w:t>
      </w:r>
      <w:proofErr w:type="spellEnd"/>
      <w:r w:rsidRPr="00EB1D71">
        <w:rPr>
          <w:rFonts w:asciiTheme="minorHAnsi" w:hAnsiTheme="minorHAnsi" w:cstheme="minorHAnsi"/>
        </w:rPr>
        <w:t xml:space="preserve"> nitrogen on the basis of stakeholder feedback that these measures were not well understood by end users, was coupled with the relatively positive assessment of these by the Industry Reference Group and their high ranking based on the evidence. </w:t>
      </w:r>
      <w:proofErr w:type="gramStart"/>
      <w:r w:rsidRPr="00EB1D71">
        <w:rPr>
          <w:rFonts w:asciiTheme="minorHAnsi" w:hAnsiTheme="minorHAnsi" w:cstheme="minorHAnsi"/>
        </w:rPr>
        <w:t>Both of these</w:t>
      </w:r>
      <w:proofErr w:type="gramEnd"/>
      <w:r w:rsidRPr="00EB1D71">
        <w:rPr>
          <w:rFonts w:asciiTheme="minorHAnsi" w:hAnsiTheme="minorHAnsi" w:cstheme="minorHAnsi"/>
        </w:rPr>
        <w:t xml:space="preserve"> indicators are available from commercial laboratories in the UK which also makes them relatively accessible for use in the field.</w:t>
      </w:r>
    </w:p>
    <w:p w14:paraId="52C15408" w14:textId="77777777" w:rsidR="00957A0F" w:rsidRDefault="00957A0F">
      <w:pPr>
        <w:spacing w:line="278" w:lineRule="auto"/>
        <w:rPr>
          <w:rFonts w:asciiTheme="minorHAnsi" w:hAnsiTheme="minorHAnsi" w:cstheme="minorHAnsi"/>
        </w:rPr>
      </w:pPr>
      <w:r>
        <w:rPr>
          <w:rFonts w:asciiTheme="minorHAnsi" w:hAnsiTheme="minorHAnsi" w:cstheme="minorHAnsi"/>
        </w:rPr>
        <w:br w:type="page"/>
      </w:r>
    </w:p>
    <w:p w14:paraId="2CEBAA17" w14:textId="72375CEA" w:rsidR="007E3608" w:rsidRPr="00EB1D71" w:rsidRDefault="007E0F91" w:rsidP="007E3608">
      <w:pPr>
        <w:pStyle w:val="Heading2"/>
        <w:rPr>
          <w:rFonts w:asciiTheme="minorHAnsi" w:hAnsiTheme="minorHAnsi" w:cstheme="minorHAnsi"/>
        </w:rPr>
      </w:pPr>
      <w:bookmarkStart w:id="97" w:name="_Toc228622098"/>
      <w:bookmarkStart w:id="98" w:name="_Toc234580971"/>
      <w:r>
        <w:rPr>
          <w:rFonts w:asciiTheme="minorHAnsi" w:hAnsiTheme="minorHAnsi" w:cstheme="minorHAnsi"/>
        </w:rPr>
        <w:lastRenderedPageBreak/>
        <w:t>D</w:t>
      </w:r>
      <w:r w:rsidR="007E3608" w:rsidRPr="00EB1D71">
        <w:rPr>
          <w:rFonts w:asciiTheme="minorHAnsi" w:hAnsiTheme="minorHAnsi" w:cstheme="minorHAnsi"/>
        </w:rPr>
        <w:t>iscussion</w:t>
      </w:r>
      <w:bookmarkEnd w:id="97"/>
      <w:bookmarkEnd w:id="98"/>
    </w:p>
    <w:p w14:paraId="67E90101" w14:textId="77777777" w:rsidR="007E3608" w:rsidRPr="00AE2A6A" w:rsidRDefault="007E3608" w:rsidP="007E3608">
      <w:pPr>
        <w:pStyle w:val="Heading3"/>
        <w:rPr>
          <w:rFonts w:asciiTheme="minorHAnsi" w:hAnsiTheme="minorHAnsi" w:cstheme="minorHAnsi"/>
          <w:color w:val="006197" w:themeColor="text1" w:themeShade="BF"/>
        </w:rPr>
      </w:pPr>
      <w:bookmarkStart w:id="99" w:name="_Toc228622099"/>
      <w:bookmarkStart w:id="100" w:name="_Toc234580972"/>
      <w:r w:rsidRPr="00AE2A6A">
        <w:rPr>
          <w:rFonts w:asciiTheme="minorHAnsi" w:hAnsiTheme="minorHAnsi" w:cstheme="minorHAnsi"/>
          <w:color w:val="006197" w:themeColor="text1" w:themeShade="BF"/>
        </w:rPr>
        <w:t>Potential of shortlisted indicators to detect a change in soil health in 1-2 years</w:t>
      </w:r>
      <w:bookmarkEnd w:id="99"/>
      <w:bookmarkEnd w:id="100"/>
    </w:p>
    <w:p w14:paraId="70D87C98" w14:textId="4B65894A" w:rsidR="007E3608" w:rsidRPr="00EB1D71" w:rsidRDefault="007E3608" w:rsidP="007E0F91">
      <w:pPr>
        <w:rPr>
          <w:rFonts w:asciiTheme="minorHAnsi" w:hAnsiTheme="minorHAnsi" w:cstheme="minorHAnsi"/>
        </w:rPr>
      </w:pPr>
      <w:r w:rsidRPr="00EB1D71">
        <w:rPr>
          <w:rFonts w:asciiTheme="minorHAnsi" w:hAnsiTheme="minorHAnsi" w:cstheme="minorHAnsi"/>
        </w:rPr>
        <w:t xml:space="preserve">The top three indicators selected for development of further guidance for UK farmers were: active carbon measured using the permanganate oxidisable carbon (POXC) method, potentially </w:t>
      </w:r>
      <w:proofErr w:type="spellStart"/>
      <w:r w:rsidRPr="00EB1D71">
        <w:rPr>
          <w:rFonts w:asciiTheme="minorHAnsi" w:hAnsiTheme="minorHAnsi" w:cstheme="minorHAnsi"/>
        </w:rPr>
        <w:t>minerali</w:t>
      </w:r>
      <w:r w:rsidR="00541989" w:rsidRPr="00EB1D71">
        <w:rPr>
          <w:rFonts w:asciiTheme="minorHAnsi" w:hAnsiTheme="minorHAnsi" w:cstheme="minorHAnsi"/>
        </w:rPr>
        <w:t>s</w:t>
      </w:r>
      <w:r w:rsidRPr="00EB1D71">
        <w:rPr>
          <w:rFonts w:asciiTheme="minorHAnsi" w:hAnsiTheme="minorHAnsi" w:cstheme="minorHAnsi"/>
        </w:rPr>
        <w:t>able</w:t>
      </w:r>
      <w:proofErr w:type="spellEnd"/>
      <w:r w:rsidRPr="00EB1D71">
        <w:rPr>
          <w:rFonts w:asciiTheme="minorHAnsi" w:hAnsiTheme="minorHAnsi" w:cstheme="minorHAnsi"/>
        </w:rPr>
        <w:t xml:space="preserve"> nitrogen (PMN) and aggregate stability. These have all been proposed as indicators likely to be sensitive to management change. </w:t>
      </w:r>
    </w:p>
    <w:p w14:paraId="37906EF7" w14:textId="1150A70A" w:rsidR="007E3608" w:rsidRPr="00EB1D71" w:rsidRDefault="00E4112B" w:rsidP="007E0F91">
      <w:pPr>
        <w:rPr>
          <w:rFonts w:asciiTheme="minorHAnsi" w:hAnsiTheme="minorHAnsi" w:cstheme="minorHAnsi"/>
        </w:rPr>
      </w:pPr>
      <w:sdt>
        <w:sdtPr>
          <w:rPr>
            <w:rFonts w:asciiTheme="minorHAnsi" w:hAnsiTheme="minorHAnsi" w:cstheme="minorHAnsi"/>
          </w:rPr>
          <w:tag w:val="MENDELEY_CITATION_v3_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"/>
          <w:id w:val="-1274166199"/>
          <w:placeholder>
            <w:docPart w:val="B5CBF3B107F84FC085A4FAEC8A803456"/>
          </w:placeholder>
        </w:sdtPr>
        <w:sdtEndPr/>
        <w:sdtContent>
          <w:r w:rsidR="007E3608" w:rsidRPr="00EB1D71">
            <w:rPr>
              <w:rFonts w:asciiTheme="minorHAnsi" w:eastAsia="Times New Roman" w:hAnsiTheme="minorHAnsi" w:cstheme="minorHAnsi"/>
            </w:rPr>
            <w:t>Deeks &amp; Rickson (2023)</w:t>
          </w:r>
        </w:sdtContent>
      </w:sdt>
      <w:r w:rsidR="007E3608" w:rsidRPr="00EB1D71">
        <w:rPr>
          <w:rFonts w:asciiTheme="minorHAnsi" w:hAnsiTheme="minorHAnsi" w:cstheme="minorHAnsi"/>
        </w:rPr>
        <w:t xml:space="preserve"> report that labile fractions of carbon respond to seasonal variations more than total organic carbon, citing work by Bastida et al. </w:t>
      </w:r>
      <w:sdt>
        <w:sdtPr>
          <w:rPr>
            <w:rFonts w:asciiTheme="minorHAnsi" w:hAnsiTheme="minorHAnsi" w:cstheme="minorHAnsi"/>
          </w:rPr>
          <w:tag w:val="MENDELEY_CITATION_v3_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"/>
          <w:id w:val="-1632238666"/>
          <w:placeholder>
            <w:docPart w:val="B5CBF3B107F84FC085A4FAEC8A803456"/>
          </w:placeholder>
        </w:sdtPr>
        <w:sdtEndPr/>
        <w:sdtContent>
          <w:r w:rsidR="007E3608" w:rsidRPr="00EB1D71">
            <w:rPr>
              <w:rFonts w:asciiTheme="minorHAnsi" w:hAnsiTheme="minorHAnsi" w:cstheme="minorHAnsi"/>
            </w:rPr>
            <w:t>(2006, 2008)</w:t>
          </w:r>
        </w:sdtContent>
      </w:sdt>
      <w:r w:rsidR="007E3608" w:rsidRPr="00EB1D71">
        <w:rPr>
          <w:rFonts w:asciiTheme="minorHAnsi" w:hAnsiTheme="minorHAnsi" w:cstheme="minorHAnsi"/>
        </w:rPr>
        <w:t xml:space="preserve">. Recent research has shown that the ‘active’ soil C component in the soil responds to management change much more quickly (1 to 5 year) </w:t>
      </w:r>
      <w:sdt>
        <w:sdtPr>
          <w:rPr>
            <w:rFonts w:asciiTheme="minorHAnsi" w:hAnsiTheme="minorHAnsi" w:cstheme="minorHAnsi"/>
          </w:rPr>
          <w:tag w:val="MENDELEY_CITATION_v3_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"/>
          <w:id w:val="-1834281906"/>
          <w:placeholder>
            <w:docPart w:val="B5CBF3B107F84FC085A4FAEC8A803456"/>
          </w:placeholder>
        </w:sdtPr>
        <w:sdtEndPr/>
        <w:sdtContent>
          <w:r w:rsidR="007E3608" w:rsidRPr="00EB1D71">
            <w:rPr>
              <w:rFonts w:asciiTheme="minorHAnsi" w:hAnsiTheme="minorHAnsi" w:cstheme="minorHAnsi"/>
            </w:rPr>
            <w:t>(</w:t>
          </w:r>
          <w:proofErr w:type="spellStart"/>
          <w:r w:rsidR="007E3608" w:rsidRPr="00EB1D71">
            <w:rPr>
              <w:rFonts w:asciiTheme="minorHAnsi" w:hAnsiTheme="minorHAnsi" w:cstheme="minorHAnsi"/>
            </w:rPr>
            <w:t>Chéron-Bessou</w:t>
          </w:r>
          <w:proofErr w:type="spellEnd"/>
          <w:r w:rsidR="007E3608" w:rsidRPr="00EB1D71">
            <w:rPr>
              <w:rFonts w:asciiTheme="minorHAnsi" w:hAnsiTheme="minorHAnsi" w:cstheme="minorHAnsi"/>
            </w:rPr>
            <w:t xml:space="preserve"> et al., 2025)</w:t>
          </w:r>
        </w:sdtContent>
      </w:sdt>
      <w:r w:rsidR="007E3608" w:rsidRPr="00EB1D71">
        <w:rPr>
          <w:rFonts w:asciiTheme="minorHAnsi" w:hAnsiTheme="minorHAnsi" w:cstheme="minorHAnsi"/>
        </w:rPr>
        <w:t xml:space="preserve"> benefiting the soil stability more than the other pools, improving water infiltration and soil porosity, reducing erosion risk and compaction. </w:t>
      </w:r>
      <w:sdt>
        <w:sdtPr>
          <w:rPr>
            <w:rFonts w:asciiTheme="minorHAnsi" w:hAnsiTheme="minorHAnsi" w:cstheme="minorHAnsi"/>
          </w:rPr>
          <w:tag w:val="MENDELEY_CITATION_v3_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"/>
          <w:id w:val="1256332669"/>
          <w:placeholder>
            <w:docPart w:val="B5CBF3B107F84FC085A4FAEC8A803456"/>
          </w:placeholder>
        </w:sdtPr>
        <w:sdtEndPr/>
        <w:sdtContent>
          <w:r w:rsidR="007E3608" w:rsidRPr="00EB1D71">
            <w:rPr>
              <w:rFonts w:asciiTheme="minorHAnsi" w:hAnsiTheme="minorHAnsi" w:cstheme="minorHAnsi"/>
            </w:rPr>
            <w:t>Lehmann et al. (2020)</w:t>
          </w:r>
        </w:sdtContent>
      </w:sdt>
      <w:r w:rsidR="007E3608" w:rsidRPr="00EB1D71">
        <w:rPr>
          <w:rFonts w:asciiTheme="minorHAnsi" w:hAnsiTheme="minorHAnsi" w:cstheme="minorHAnsi"/>
        </w:rPr>
        <w:t xml:space="preserve"> also argue that organic carbon fractions are more sensitive than total organic carbon, which does not change so quickly over time. POXC has been proposed as an indicator of the labile carbon fraction in the soil </w:t>
      </w:r>
      <w:sdt>
        <w:sdtPr>
          <w:rPr>
            <w:rFonts w:asciiTheme="minorHAnsi" w:hAnsiTheme="minorHAnsi" w:cstheme="minorHAnsi"/>
          </w:rPr>
          <w:tag w:val="MENDELEY_CITATION_v3_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"/>
          <w:id w:val="729345689"/>
          <w:placeholder>
            <w:docPart w:val="B5CBF3B107F84FC085A4FAEC8A803456"/>
          </w:placeholder>
        </w:sdtPr>
        <w:sdtEndPr/>
        <w:sdtContent>
          <w:r w:rsidR="007E3608" w:rsidRPr="00EB1D71">
            <w:rPr>
              <w:rFonts w:asciiTheme="minorHAnsi" w:hAnsiTheme="minorHAnsi" w:cstheme="minorHAnsi"/>
            </w:rPr>
            <w:t>(Rodriguez et al., 2022; Stott, 2019)</w:t>
          </w:r>
        </w:sdtContent>
      </w:sdt>
      <w:r w:rsidR="007E3608" w:rsidRPr="00EB1D71">
        <w:rPr>
          <w:rFonts w:asciiTheme="minorHAnsi" w:hAnsiTheme="minorHAnsi" w:cstheme="minorHAnsi"/>
        </w:rPr>
        <w:t xml:space="preserve"> although the link to labile carbon fractions has been challenged by recent studies </w:t>
      </w:r>
      <w:sdt>
        <w:sdtPr>
          <w:rPr>
            <w:rFonts w:asciiTheme="minorHAnsi" w:hAnsiTheme="minorHAnsi" w:cstheme="minorHAnsi"/>
          </w:rPr>
          <w:tag w:val="MENDELEY_CITATION_v3_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"/>
          <w:id w:val="1761946528"/>
          <w:placeholder>
            <w:docPart w:val="B5CBF3B107F84FC085A4FAEC8A803456"/>
          </w:placeholder>
        </w:sdtPr>
        <w:sdtEndPr/>
        <w:sdtContent>
          <w:r w:rsidR="007E3608" w:rsidRPr="00EB1D71">
            <w:rPr>
              <w:rFonts w:asciiTheme="minorHAnsi" w:hAnsiTheme="minorHAnsi" w:cstheme="minorHAnsi"/>
            </w:rPr>
            <w:t>(Wade et al., 2021)</w:t>
          </w:r>
        </w:sdtContent>
      </w:sdt>
      <w:r w:rsidR="007E3608" w:rsidRPr="00EB1D71">
        <w:rPr>
          <w:rFonts w:asciiTheme="minorHAnsi" w:hAnsiTheme="minorHAnsi" w:cstheme="minorHAnsi"/>
        </w:rPr>
        <w:t xml:space="preserve">. For example, </w:t>
      </w:r>
      <w:sdt>
        <w:sdtPr>
          <w:rPr>
            <w:rFonts w:asciiTheme="minorHAnsi" w:hAnsiTheme="minorHAnsi" w:cstheme="minorHAnsi"/>
          </w:rPr>
          <w:tag w:val="MENDELEY_CITATION_v3_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"/>
          <w:id w:val="-1951385521"/>
          <w:placeholder>
            <w:docPart w:val="B5CBF3B107F84FC085A4FAEC8A803456"/>
          </w:placeholder>
        </w:sdtPr>
        <w:sdtEndPr/>
        <w:sdtContent>
          <w:r w:rsidR="007E3608" w:rsidRPr="00EB1D71">
            <w:rPr>
              <w:rFonts w:asciiTheme="minorHAnsi" w:eastAsia="Times New Roman" w:hAnsiTheme="minorHAnsi" w:cstheme="minorHAnsi"/>
            </w:rPr>
            <w:t xml:space="preserve">Woodings &amp; </w:t>
          </w:r>
          <w:proofErr w:type="spellStart"/>
          <w:r w:rsidR="007E3608" w:rsidRPr="00EB1D71">
            <w:rPr>
              <w:rFonts w:asciiTheme="minorHAnsi" w:eastAsia="Times New Roman" w:hAnsiTheme="minorHAnsi" w:cstheme="minorHAnsi"/>
            </w:rPr>
            <w:t>Margenot</w:t>
          </w:r>
          <w:proofErr w:type="spellEnd"/>
          <w:r w:rsidR="007E3608" w:rsidRPr="00EB1D71">
            <w:rPr>
              <w:rFonts w:asciiTheme="minorHAnsi" w:eastAsia="Times New Roman" w:hAnsiTheme="minorHAnsi" w:cstheme="minorHAnsi"/>
            </w:rPr>
            <w:t xml:space="preserve"> (2023)</w:t>
          </w:r>
        </w:sdtContent>
      </w:sdt>
      <w:r w:rsidR="007E3608" w:rsidRPr="00EB1D71">
        <w:rPr>
          <w:rFonts w:asciiTheme="minorHAnsi" w:hAnsiTheme="minorHAnsi" w:cstheme="minorHAnsi"/>
        </w:rPr>
        <w:t xml:space="preserve"> revealed some flaws in the assumptions that permanganate oxidises only labile carbon, demonstrating that lignin, part of the soil’s recalcitrant carbon pool, is oxidised by permanganate. For this reason, it is now recommended that the fraction of carbon oxidised in the POXC test not be referred to as labile, but simply as a permanganate-oxidisable carbon. POXC certainly </w:t>
      </w:r>
      <w:r w:rsidR="007E3608" w:rsidRPr="00EB1D71">
        <w:rPr>
          <w:rFonts w:asciiTheme="minorHAnsi" w:hAnsiTheme="minorHAnsi" w:cstheme="minorHAnsi"/>
          <w:u w:val="single"/>
        </w:rPr>
        <w:t>does</w:t>
      </w:r>
      <w:r w:rsidR="007E3608" w:rsidRPr="00EB1D71">
        <w:rPr>
          <w:rFonts w:asciiTheme="minorHAnsi" w:hAnsiTheme="minorHAnsi" w:cstheme="minorHAnsi"/>
        </w:rPr>
        <w:t xml:space="preserve"> relate to total organic carbon, as illustrated by </w:t>
      </w:r>
      <w:r w:rsidR="006329C4" w:rsidRPr="00EB1D71">
        <w:rPr>
          <w:rStyle w:val="TableHyperlink"/>
          <w:rFonts w:asciiTheme="minorHAnsi" w:hAnsiTheme="minorHAnsi" w:cstheme="minorHAnsi"/>
        </w:rPr>
        <w:fldChar w:fldCharType="begin"/>
      </w:r>
      <w:r w:rsidR="006329C4" w:rsidRPr="00EB1D71">
        <w:rPr>
          <w:rStyle w:val="TableHyperlink"/>
          <w:rFonts w:asciiTheme="minorHAnsi" w:hAnsiTheme="minorHAnsi" w:cstheme="minorHAnsi"/>
        </w:rPr>
        <w:instrText xml:space="preserve"> REF _Ref229661503 \h </w:instrText>
      </w:r>
      <w:r w:rsidR="00E522A8" w:rsidRPr="00EB1D71">
        <w:rPr>
          <w:rStyle w:val="TableHyperlink"/>
          <w:rFonts w:asciiTheme="minorHAnsi" w:hAnsiTheme="minorHAnsi" w:cstheme="minorHAnsi"/>
        </w:rPr>
        <w:instrText xml:space="preserve"> \* MERGEFORMAT </w:instrText>
      </w:r>
      <w:r w:rsidR="006329C4" w:rsidRPr="00EB1D71">
        <w:rPr>
          <w:rStyle w:val="TableHyperlink"/>
          <w:rFonts w:asciiTheme="minorHAnsi" w:hAnsiTheme="minorHAnsi" w:cstheme="minorHAnsi"/>
        </w:rPr>
      </w:r>
      <w:r w:rsidR="006329C4" w:rsidRPr="00EB1D71">
        <w:rPr>
          <w:rStyle w:val="TableHyperlink"/>
          <w:rFonts w:asciiTheme="minorHAnsi" w:hAnsiTheme="minorHAnsi" w:cstheme="minorHAnsi"/>
        </w:rPr>
        <w:fldChar w:fldCharType="separate"/>
      </w:r>
      <w:r w:rsidR="006329C4" w:rsidRPr="00EB1D71">
        <w:rPr>
          <w:rStyle w:val="TableHyperlink"/>
          <w:rFonts w:asciiTheme="minorHAnsi" w:hAnsiTheme="minorHAnsi" w:cstheme="minorHAnsi"/>
        </w:rPr>
        <w:t>Figure 10</w:t>
      </w:r>
      <w:r w:rsidR="006329C4" w:rsidRPr="00EB1D71">
        <w:rPr>
          <w:rStyle w:val="TableHyperlink"/>
          <w:rFonts w:asciiTheme="minorHAnsi" w:hAnsiTheme="minorHAnsi" w:cstheme="minorHAnsi"/>
        </w:rPr>
        <w:fldChar w:fldCharType="end"/>
      </w:r>
      <w:r w:rsidR="007E3608" w:rsidRPr="00EB1D71">
        <w:rPr>
          <w:rFonts w:asciiTheme="minorHAnsi" w:hAnsiTheme="minorHAnsi" w:cstheme="minorHAnsi"/>
        </w:rPr>
        <w:t xml:space="preserve"> which shows a strong relationship with organic matter in a grassland trial at North Wyke and a similarly strong correlation with total organic carbon in a larger project on agricultural soil health in North America (both figures generated from data sourced </w:t>
      </w:r>
      <w:r w:rsidR="00F22B65" w:rsidRPr="00EB1D71">
        <w:rPr>
          <w:rFonts w:asciiTheme="minorHAnsi" w:hAnsiTheme="minorHAnsi" w:cstheme="minorHAnsi"/>
        </w:rPr>
        <w:t>during</w:t>
      </w:r>
      <w:r w:rsidR="007E3608" w:rsidRPr="00EB1D71">
        <w:rPr>
          <w:rFonts w:asciiTheme="minorHAnsi" w:hAnsiTheme="minorHAnsi" w:cstheme="minorHAnsi"/>
        </w:rPr>
        <w:t xml:space="preserve"> this project). Further research is needed to evaluate if recent changes in management will result in a change in POXC more quickly than LOI or soil organic carbon, which are generally acknowledged to be lagging indicators slow to respond to management change. </w:t>
      </w:r>
    </w:p>
    <w:p w14:paraId="173EE957" w14:textId="4A829018" w:rsidR="007E3608" w:rsidRPr="00EB1D71" w:rsidRDefault="007E3608" w:rsidP="003F0C2C">
      <w:pPr>
        <w:pStyle w:val="Caption"/>
        <w:keepNext/>
        <w:keepLines/>
        <w:rPr>
          <w:rFonts w:asciiTheme="minorHAnsi" w:hAnsiTheme="minorHAnsi" w:cstheme="minorHAnsi"/>
          <w:color w:val="000000"/>
        </w:rPr>
      </w:pPr>
      <w:bookmarkStart w:id="101" w:name="_Ref229661503"/>
      <w:bookmarkStart w:id="102" w:name="_Toc228622134"/>
      <w:r w:rsidRPr="00EB1D71">
        <w:rPr>
          <w:rFonts w:asciiTheme="minorHAnsi" w:hAnsiTheme="minorHAnsi" w:cstheme="minorHAnsi"/>
        </w:rPr>
        <w:lastRenderedPageBreak/>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10</w:t>
      </w:r>
      <w:r w:rsidR="007D3945">
        <w:rPr>
          <w:rFonts w:asciiTheme="minorHAnsi" w:hAnsiTheme="minorHAnsi" w:cstheme="minorHAnsi"/>
        </w:rPr>
        <w:fldChar w:fldCharType="end"/>
      </w:r>
      <w:bookmarkEnd w:id="101"/>
      <w:r w:rsidRPr="00EB1D71">
        <w:rPr>
          <w:rFonts w:asciiTheme="minorHAnsi" w:hAnsiTheme="minorHAnsi" w:cstheme="minorHAnsi"/>
        </w:rPr>
        <w:t xml:space="preserve">. Relationship between POXC </w:t>
      </w:r>
      <w:r w:rsidR="00DF197A">
        <w:rPr>
          <w:rFonts w:asciiTheme="minorHAnsi" w:hAnsiTheme="minorHAnsi" w:cstheme="minorHAnsi"/>
        </w:rPr>
        <w:t xml:space="preserve">(mg/kg) </w:t>
      </w:r>
      <w:r w:rsidRPr="00EB1D71">
        <w:rPr>
          <w:rFonts w:asciiTheme="minorHAnsi" w:hAnsiTheme="minorHAnsi" w:cstheme="minorHAnsi"/>
        </w:rPr>
        <w:t xml:space="preserve">and </w:t>
      </w:r>
      <w:r w:rsidR="00DF197A">
        <w:rPr>
          <w:rFonts w:asciiTheme="minorHAnsi" w:hAnsiTheme="minorHAnsi" w:cstheme="minorHAnsi"/>
        </w:rPr>
        <w:t xml:space="preserve">two </w:t>
      </w:r>
      <w:r w:rsidRPr="00EB1D71">
        <w:rPr>
          <w:rFonts w:asciiTheme="minorHAnsi" w:hAnsiTheme="minorHAnsi" w:cstheme="minorHAnsi"/>
        </w:rPr>
        <w:t>measures of organic matter</w:t>
      </w:r>
      <w:r w:rsidR="00DF197A">
        <w:rPr>
          <w:rFonts w:asciiTheme="minorHAnsi" w:hAnsiTheme="minorHAnsi" w:cstheme="minorHAnsi"/>
        </w:rPr>
        <w:t xml:space="preserve">: loss on ignition and soil organic carbon. Graph </w:t>
      </w:r>
      <w:r w:rsidRPr="00EB1D71">
        <w:rPr>
          <w:rFonts w:asciiTheme="minorHAnsi" w:hAnsiTheme="minorHAnsi" w:cstheme="minorHAnsi"/>
        </w:rPr>
        <w:t xml:space="preserve">a) </w:t>
      </w:r>
      <w:r w:rsidR="003F0C2C">
        <w:rPr>
          <w:rFonts w:asciiTheme="minorHAnsi" w:hAnsiTheme="minorHAnsi" w:cstheme="minorHAnsi"/>
        </w:rPr>
        <w:t xml:space="preserve">compares POXC and loss on ignition (%) using results </w:t>
      </w:r>
      <w:r w:rsidRPr="00EB1D71">
        <w:rPr>
          <w:rFonts w:asciiTheme="minorHAnsi" w:hAnsiTheme="minorHAnsi" w:cstheme="minorHAnsi"/>
        </w:rPr>
        <w:t xml:space="preserve">from the North Wyke Inorganic fertiliser trial, 2016. N=330, and b) </w:t>
      </w:r>
      <w:r w:rsidR="003F0C2C">
        <w:rPr>
          <w:rFonts w:asciiTheme="minorHAnsi" w:hAnsiTheme="minorHAnsi" w:cstheme="minorHAnsi"/>
        </w:rPr>
        <w:t xml:space="preserve">compares POXC and soil organic C (%) using results from </w:t>
      </w:r>
      <w:r w:rsidRPr="00EB1D71">
        <w:rPr>
          <w:rFonts w:asciiTheme="minorHAnsi" w:hAnsiTheme="minorHAnsi" w:cstheme="minorHAnsi"/>
        </w:rPr>
        <w:t>the North American Project to Evaluate Soil Health Measurements (NAPESHM). N=1453.</w:t>
      </w:r>
      <w:bookmarkEnd w:id="102"/>
    </w:p>
    <w:p w14:paraId="13D5F4E3" w14:textId="1A599748" w:rsidR="007E3608" w:rsidRPr="00EB1D71" w:rsidRDefault="007E3608">
      <w:pPr>
        <w:spacing w:line="278" w:lineRule="auto"/>
        <w:rPr>
          <w:rFonts w:asciiTheme="minorHAnsi" w:hAnsiTheme="minorHAnsi" w:cstheme="minorHAnsi"/>
        </w:rPr>
      </w:pPr>
      <w:r w:rsidRPr="00EB1D71">
        <w:rPr>
          <w:rFonts w:asciiTheme="minorHAnsi" w:hAnsiTheme="minorHAnsi" w:cstheme="minorHAnsi"/>
          <w:noProof/>
          <w:color w:val="000000"/>
        </w:rPr>
        <w:drawing>
          <wp:inline distT="0" distB="0" distL="0" distR="0" wp14:anchorId="7A0D60CC" wp14:editId="190320F9">
            <wp:extent cx="5247250" cy="6294997"/>
            <wp:effectExtent l="0" t="0" r="0" b="0"/>
            <wp:docPr id="1172520478" name="Picture 1" descr="A scattergraph with two panels. Panel a) shows a weak positive correlation between active carbon (POXC) and soil organic matter determined via loss on ignition. Panel b) shows a stronger positive correlation between active carbon (POXC) and soil organic car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20478" name="Picture 1" descr="A scattergraph with two panels. Panel a) shows a weak positive correlation between active carbon (POXC) and soil organic matter determined via loss on ignition. Panel b) shows a stronger positive correlation between active carbon (POXC) and soil organic carbon."/>
                    <pic:cNvPicPr/>
                  </pic:nvPicPr>
                  <pic:blipFill>
                    <a:blip r:embed="rId46"/>
                    <a:stretch>
                      <a:fillRect/>
                    </a:stretch>
                  </pic:blipFill>
                  <pic:spPr>
                    <a:xfrm>
                      <a:off x="0" y="0"/>
                      <a:ext cx="5268835" cy="6320892"/>
                    </a:xfrm>
                    <a:prstGeom prst="rect">
                      <a:avLst/>
                    </a:prstGeom>
                  </pic:spPr>
                </pic:pic>
              </a:graphicData>
            </a:graphic>
          </wp:inline>
        </w:drawing>
      </w:r>
    </w:p>
    <w:p w14:paraId="5081D78D" w14:textId="07A6B168" w:rsidR="007E3608" w:rsidRPr="00EB1D71" w:rsidRDefault="007E3608" w:rsidP="007E3608">
      <w:pPr>
        <w:pStyle w:val="Caption"/>
        <w:keepNext/>
        <w:rPr>
          <w:rFonts w:asciiTheme="minorHAnsi" w:hAnsiTheme="minorHAnsi" w:cstheme="minorHAnsi"/>
          <w:color w:val="000000"/>
        </w:rPr>
      </w:pPr>
      <w:bookmarkStart w:id="103" w:name="_Ref228271925"/>
      <w:bookmarkStart w:id="104" w:name="_Toc228622135"/>
      <w:r w:rsidRPr="00EB1D71">
        <w:rPr>
          <w:rFonts w:asciiTheme="minorHAnsi" w:hAnsiTheme="minorHAnsi" w:cstheme="minorHAnsi"/>
        </w:rPr>
        <w:lastRenderedPageBreak/>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11</w:t>
      </w:r>
      <w:r w:rsidR="007D3945">
        <w:rPr>
          <w:rFonts w:asciiTheme="minorHAnsi" w:hAnsiTheme="minorHAnsi" w:cstheme="minorHAnsi"/>
        </w:rPr>
        <w:fldChar w:fldCharType="end"/>
      </w:r>
      <w:bookmarkEnd w:id="103"/>
      <w:r w:rsidRPr="00EB1D71">
        <w:rPr>
          <w:rFonts w:asciiTheme="minorHAnsi" w:hAnsiTheme="minorHAnsi" w:cstheme="minorHAnsi"/>
        </w:rPr>
        <w:t xml:space="preserve">. Relationship between PMN </w:t>
      </w:r>
      <w:r w:rsidR="003F0C2C">
        <w:rPr>
          <w:rFonts w:asciiTheme="minorHAnsi" w:hAnsiTheme="minorHAnsi" w:cstheme="minorHAnsi"/>
        </w:rPr>
        <w:t xml:space="preserve">(mg/kg) </w:t>
      </w:r>
      <w:r w:rsidRPr="00EB1D71">
        <w:rPr>
          <w:rFonts w:asciiTheme="minorHAnsi" w:hAnsiTheme="minorHAnsi" w:cstheme="minorHAnsi"/>
        </w:rPr>
        <w:t>and total soil N</w:t>
      </w:r>
      <w:r w:rsidR="003F0C2C">
        <w:rPr>
          <w:rFonts w:asciiTheme="minorHAnsi" w:hAnsiTheme="minorHAnsi" w:cstheme="minorHAnsi"/>
        </w:rPr>
        <w:t xml:space="preserve"> (%)</w:t>
      </w:r>
      <w:r w:rsidRPr="00EB1D71">
        <w:rPr>
          <w:rFonts w:asciiTheme="minorHAnsi" w:hAnsiTheme="minorHAnsi" w:cstheme="minorHAnsi"/>
        </w:rPr>
        <w:t>. North American Project to Evaluate Soil Health Measurements (NAPESHM). N=1453</w:t>
      </w:r>
      <w:bookmarkEnd w:id="104"/>
    </w:p>
    <w:p w14:paraId="7EF83845" w14:textId="771570B4" w:rsidR="007E3608" w:rsidRPr="00EB1D71" w:rsidRDefault="007E3608">
      <w:pPr>
        <w:spacing w:line="278" w:lineRule="auto"/>
        <w:rPr>
          <w:rFonts w:asciiTheme="minorHAnsi" w:hAnsiTheme="minorHAnsi" w:cstheme="minorHAnsi"/>
        </w:rPr>
      </w:pPr>
      <w:r w:rsidRPr="00EB1D71">
        <w:rPr>
          <w:rFonts w:asciiTheme="minorHAnsi" w:hAnsiTheme="minorHAnsi" w:cstheme="minorHAnsi"/>
          <w:noProof/>
          <w:color w:val="000000"/>
        </w:rPr>
        <w:drawing>
          <wp:inline distT="0" distB="0" distL="0" distR="0" wp14:anchorId="0C918E2C" wp14:editId="0C107559">
            <wp:extent cx="5759450" cy="3454208"/>
            <wp:effectExtent l="0" t="0" r="0" b="0"/>
            <wp:docPr id="1485521613" name="Picture 4" descr="A scattergraph showing a positive correlation between potentially mineralisable nitrogen and soil total nitrogen (%). The variability increases with increasing concentrations of each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521613" name="Picture 4" descr="A scattergraph showing a positive correlation between potentially mineralisable nitrogen and soil total nitrogen (%). The variability increases with increasing concentrations of each measure."/>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759450" cy="3454208"/>
                    </a:xfrm>
                    <a:prstGeom prst="rect">
                      <a:avLst/>
                    </a:prstGeom>
                    <a:noFill/>
                  </pic:spPr>
                </pic:pic>
              </a:graphicData>
            </a:graphic>
          </wp:inline>
        </w:drawing>
      </w:r>
    </w:p>
    <w:p w14:paraId="6C1F48C5" w14:textId="641BBA18" w:rsidR="007E3608" w:rsidRPr="00EB1D71" w:rsidRDefault="007E3608" w:rsidP="007E0F91">
      <w:pPr>
        <w:rPr>
          <w:rFonts w:asciiTheme="minorHAnsi" w:hAnsiTheme="minorHAnsi" w:cstheme="minorHAnsi"/>
        </w:rPr>
      </w:pPr>
      <w:r w:rsidRPr="00EB1D71">
        <w:rPr>
          <w:rFonts w:asciiTheme="minorHAnsi" w:hAnsiTheme="minorHAnsi" w:cstheme="minorHAnsi"/>
        </w:rPr>
        <w:t>Potentially minerali</w:t>
      </w:r>
      <w:r w:rsidR="006745E9">
        <w:rPr>
          <w:rFonts w:asciiTheme="minorHAnsi" w:hAnsiTheme="minorHAnsi" w:cstheme="minorHAnsi"/>
        </w:rPr>
        <w:t>s</w:t>
      </w:r>
      <w:r w:rsidRPr="00EB1D71">
        <w:rPr>
          <w:rFonts w:asciiTheme="minorHAnsi" w:hAnsiTheme="minorHAnsi" w:cstheme="minorHAnsi"/>
        </w:rPr>
        <w:t xml:space="preserve">able nitrogen is described by </w:t>
      </w:r>
      <w:sdt>
        <w:sdtPr>
          <w:rPr>
            <w:rFonts w:asciiTheme="minorHAnsi" w:hAnsiTheme="minorHAnsi" w:cstheme="minorHAnsi"/>
          </w:rPr>
          <w:tag w:val="MENDELEY_CITATION_v3_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"/>
          <w:id w:val="1642468462"/>
          <w:placeholder>
            <w:docPart w:val="D0486A74254246619000565A117D1296"/>
          </w:placeholder>
        </w:sdtPr>
        <w:sdtEndPr/>
        <w:sdtContent>
          <w:r w:rsidRPr="00EB1D71">
            <w:rPr>
              <w:rFonts w:asciiTheme="minorHAnsi" w:eastAsia="Times New Roman" w:hAnsiTheme="minorHAnsi" w:cstheme="minorHAnsi"/>
            </w:rPr>
            <w:t>Deeks &amp; Rickson (2023)</w:t>
          </w:r>
        </w:sdtContent>
      </w:sdt>
      <w:r w:rsidRPr="00EB1D71">
        <w:rPr>
          <w:rFonts w:asciiTheme="minorHAnsi" w:hAnsiTheme="minorHAnsi" w:cstheme="minorHAnsi"/>
        </w:rPr>
        <w:t xml:space="preserve"> as a combined measure of soil biological activity and substrate available for mineralisation and conversion to plant-available N, but they do not comment on its sensitivity to recent management. It is widely recognised as a guide for making decisions about fertiliser use following recent applications of organic N through manure or slurry, or the plough</w:t>
      </w:r>
      <w:r w:rsidR="00735BB6" w:rsidRPr="00EB1D71">
        <w:rPr>
          <w:rFonts w:asciiTheme="minorHAnsi" w:hAnsiTheme="minorHAnsi" w:cstheme="minorHAnsi"/>
        </w:rPr>
        <w:t>-</w:t>
      </w:r>
      <w:r w:rsidRPr="00EB1D71">
        <w:rPr>
          <w:rFonts w:asciiTheme="minorHAnsi" w:hAnsiTheme="minorHAnsi" w:cstheme="minorHAnsi"/>
        </w:rPr>
        <w:t xml:space="preserve">down of a legume crop. For detecting changes in soil health as distinct from short-term N supply, it is advisable to sample during a period when the soil has not had recent additions of fresh organic matter. This would provide a better indication of the underlying potential to supply N from the soil’s organic N reserves, reflecting differences in the quality of the soil organic N pool and the microbial community that mineralises organic matter. </w:t>
      </w:r>
    </w:p>
    <w:p w14:paraId="79CDE174" w14:textId="77777777" w:rsidR="007E3608" w:rsidRPr="00EB1D71" w:rsidRDefault="007E3608" w:rsidP="007E0F91">
      <w:pPr>
        <w:rPr>
          <w:rFonts w:asciiTheme="minorHAnsi" w:hAnsiTheme="minorHAnsi" w:cstheme="minorHAnsi"/>
        </w:rPr>
      </w:pPr>
      <w:r w:rsidRPr="00EB1D71">
        <w:rPr>
          <w:rFonts w:asciiTheme="minorHAnsi" w:hAnsiTheme="minorHAnsi" w:cstheme="minorHAnsi"/>
        </w:rPr>
        <w:t xml:space="preserve">Previous work by Bhogal et al. (2020) demonstrated that PMN provides information in addition to standard soil organic matter testing; in their dataset of 625 arable and grassland UK soils, only 23% of the variation in PMN was due to variation in organic matter content. </w:t>
      </w:r>
    </w:p>
    <w:p w14:paraId="7863E56F" w14:textId="5E24E53A" w:rsidR="007E3608" w:rsidRPr="00EB1D71" w:rsidRDefault="007E3608" w:rsidP="007E0F91">
      <w:pPr>
        <w:rPr>
          <w:rFonts w:asciiTheme="minorHAnsi" w:hAnsiTheme="minorHAnsi" w:cstheme="minorHAnsi"/>
        </w:rPr>
      </w:pPr>
      <w:r w:rsidRPr="00EB1D71">
        <w:rPr>
          <w:rFonts w:asciiTheme="minorHAnsi" w:hAnsiTheme="minorHAnsi" w:cstheme="minorHAnsi"/>
        </w:rPr>
        <w:t xml:space="preserve">Data from the NAPESHM project </w:t>
      </w:r>
      <w:sdt>
        <w:sdtPr>
          <w:rPr>
            <w:rFonts w:asciiTheme="minorHAnsi" w:hAnsiTheme="minorHAnsi" w:cstheme="minorHAnsi"/>
          </w:rPr>
          <w:tag w:val="MENDELEY_CITATION_v3_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"/>
          <w:id w:val="1645240811"/>
          <w:placeholder>
            <w:docPart w:val="D0486A74254246619000565A117D1296"/>
          </w:placeholder>
        </w:sdtPr>
        <w:sdtEndPr/>
        <w:sdtContent>
          <w:r w:rsidRPr="00EB1D71">
            <w:rPr>
              <w:rFonts w:asciiTheme="minorHAnsi" w:hAnsiTheme="minorHAnsi" w:cstheme="minorHAnsi"/>
            </w:rPr>
            <w:t>(Norris et al., 2020)</w:t>
          </w:r>
        </w:sdtContent>
      </w:sdt>
      <w:r w:rsidRPr="00EB1D71">
        <w:rPr>
          <w:rFonts w:asciiTheme="minorHAnsi" w:hAnsiTheme="minorHAnsi" w:cstheme="minorHAnsi"/>
        </w:rPr>
        <w:t xml:space="preserve"> shows </w:t>
      </w:r>
      <w:proofErr w:type="gramStart"/>
      <w:r w:rsidRPr="00EB1D71">
        <w:rPr>
          <w:rFonts w:asciiTheme="minorHAnsi" w:hAnsiTheme="minorHAnsi" w:cstheme="minorHAnsi"/>
        </w:rPr>
        <w:t>fairly strong</w:t>
      </w:r>
      <w:proofErr w:type="gramEnd"/>
      <w:r w:rsidRPr="00EB1D71">
        <w:rPr>
          <w:rFonts w:asciiTheme="minorHAnsi" w:hAnsiTheme="minorHAnsi" w:cstheme="minorHAnsi"/>
        </w:rPr>
        <w:t xml:space="preserve"> correlation of PMN with soil total N, particularly at lower levels of total N (</w:t>
      </w:r>
      <w:r w:rsidR="009A568B" w:rsidRPr="00EB1D71">
        <w:rPr>
          <w:rStyle w:val="TableHyperlink"/>
          <w:rFonts w:asciiTheme="minorHAnsi" w:hAnsiTheme="minorHAnsi" w:cstheme="minorHAnsi"/>
        </w:rPr>
        <w:fldChar w:fldCharType="begin"/>
      </w:r>
      <w:r w:rsidR="009A568B" w:rsidRPr="00EB1D71">
        <w:rPr>
          <w:rStyle w:val="TableHyperlink"/>
          <w:rFonts w:asciiTheme="minorHAnsi" w:hAnsiTheme="minorHAnsi" w:cstheme="minorHAnsi"/>
        </w:rPr>
        <w:instrText xml:space="preserve"> REF _Ref228271925 \h </w:instrText>
      </w:r>
      <w:r w:rsidR="00735BB6" w:rsidRPr="00EB1D71">
        <w:rPr>
          <w:rStyle w:val="TableHyperlink"/>
          <w:rFonts w:asciiTheme="minorHAnsi" w:hAnsiTheme="minorHAnsi" w:cstheme="minorHAnsi"/>
        </w:rPr>
        <w:instrText xml:space="preserve"> \* MERGEFORMAT </w:instrText>
      </w:r>
      <w:r w:rsidR="009A568B" w:rsidRPr="00EB1D71">
        <w:rPr>
          <w:rStyle w:val="TableHyperlink"/>
          <w:rFonts w:asciiTheme="minorHAnsi" w:hAnsiTheme="minorHAnsi" w:cstheme="minorHAnsi"/>
        </w:rPr>
      </w:r>
      <w:r w:rsidR="009A568B" w:rsidRPr="00EB1D71">
        <w:rPr>
          <w:rStyle w:val="TableHyperlink"/>
          <w:rFonts w:asciiTheme="minorHAnsi" w:hAnsiTheme="minorHAnsi" w:cstheme="minorHAnsi"/>
        </w:rPr>
        <w:fldChar w:fldCharType="separate"/>
      </w:r>
      <w:r w:rsidR="009A568B" w:rsidRPr="00EB1D71">
        <w:rPr>
          <w:rStyle w:val="TableHyperlink"/>
          <w:rFonts w:asciiTheme="minorHAnsi" w:hAnsiTheme="minorHAnsi" w:cstheme="minorHAnsi"/>
        </w:rPr>
        <w:t>Figure 11</w:t>
      </w:r>
      <w:r w:rsidR="009A568B" w:rsidRPr="00EB1D71">
        <w:rPr>
          <w:rStyle w:val="TableHyperlink"/>
          <w:rFonts w:asciiTheme="minorHAnsi" w:hAnsiTheme="minorHAnsi" w:cstheme="minorHAnsi"/>
        </w:rPr>
        <w:fldChar w:fldCharType="end"/>
      </w:r>
      <w:r w:rsidRPr="00EB1D71">
        <w:rPr>
          <w:rFonts w:asciiTheme="minorHAnsi" w:hAnsiTheme="minorHAnsi" w:cstheme="minorHAnsi"/>
        </w:rPr>
        <w:t xml:space="preserve">; generated from data sourced </w:t>
      </w:r>
      <w:r w:rsidR="00015816" w:rsidRPr="00EB1D71">
        <w:rPr>
          <w:rFonts w:asciiTheme="minorHAnsi" w:hAnsiTheme="minorHAnsi" w:cstheme="minorHAnsi"/>
        </w:rPr>
        <w:t>during</w:t>
      </w:r>
      <w:r w:rsidRPr="00EB1D71">
        <w:rPr>
          <w:rFonts w:asciiTheme="minorHAnsi" w:hAnsiTheme="minorHAnsi" w:cstheme="minorHAnsi"/>
        </w:rPr>
        <w:t xml:space="preserve"> this project). However, at higher levels of total N (&gt;0.15% N) there is a wider spread in PMN values, suggesting that quality of organic nitrogen pools and potential of the soil’s microbial community to mineralise this N, can vary at the same total N value. This could be interpreted as a difference in soil health; with soils with a higher PMN at the same total N level being in better health. </w:t>
      </w:r>
    </w:p>
    <w:p w14:paraId="7BCCDB3C" w14:textId="201AFEB7" w:rsidR="007E3608" w:rsidRPr="00EB1D71" w:rsidRDefault="007E3608" w:rsidP="007E0F91">
      <w:pPr>
        <w:rPr>
          <w:rFonts w:asciiTheme="minorHAnsi" w:hAnsiTheme="minorHAnsi" w:cstheme="minorHAnsi"/>
        </w:rPr>
      </w:pPr>
      <w:r w:rsidRPr="00EB1D71">
        <w:rPr>
          <w:rFonts w:asciiTheme="minorHAnsi" w:hAnsiTheme="minorHAnsi" w:cstheme="minorHAnsi"/>
        </w:rPr>
        <w:t>PMN was not the highest ranked indicator based on the review of evidence, largely due to its lower scores in provisioning of water and climate mitigation-related EGS compared to the rest of the shortlist (</w:t>
      </w:r>
      <w:r w:rsidR="007F56B5" w:rsidRPr="00EB1D71">
        <w:rPr>
          <w:rStyle w:val="TableHyperlink"/>
          <w:rFonts w:asciiTheme="minorHAnsi" w:hAnsiTheme="minorHAnsi" w:cstheme="minorHAnsi"/>
        </w:rPr>
        <w:fldChar w:fldCharType="begin"/>
      </w:r>
      <w:r w:rsidR="007F56B5" w:rsidRPr="00EB1D71">
        <w:rPr>
          <w:rStyle w:val="TableHyperlink"/>
          <w:rFonts w:asciiTheme="minorHAnsi" w:hAnsiTheme="minorHAnsi" w:cstheme="minorHAnsi"/>
        </w:rPr>
        <w:instrText xml:space="preserve"> REF _Ref224295131 \h </w:instrText>
      </w:r>
      <w:r w:rsidR="00E522A8" w:rsidRPr="00EB1D71">
        <w:rPr>
          <w:rStyle w:val="TableHyperlink"/>
          <w:rFonts w:asciiTheme="minorHAnsi" w:hAnsiTheme="minorHAnsi" w:cstheme="minorHAnsi"/>
        </w:rPr>
        <w:instrText xml:space="preserve"> \* MERGEFORMAT </w:instrText>
      </w:r>
      <w:r w:rsidR="007F56B5" w:rsidRPr="00EB1D71">
        <w:rPr>
          <w:rStyle w:val="TableHyperlink"/>
          <w:rFonts w:asciiTheme="minorHAnsi" w:hAnsiTheme="minorHAnsi" w:cstheme="minorHAnsi"/>
        </w:rPr>
      </w:r>
      <w:r w:rsidR="007F56B5" w:rsidRPr="00EB1D71">
        <w:rPr>
          <w:rStyle w:val="TableHyperlink"/>
          <w:rFonts w:asciiTheme="minorHAnsi" w:hAnsiTheme="minorHAnsi" w:cstheme="minorHAnsi"/>
        </w:rPr>
        <w:fldChar w:fldCharType="separate"/>
      </w:r>
      <w:r w:rsidR="007F56B5" w:rsidRPr="00EB1D71">
        <w:rPr>
          <w:rStyle w:val="TableHyperlink"/>
          <w:rFonts w:asciiTheme="minorHAnsi" w:hAnsiTheme="minorHAnsi" w:cstheme="minorHAnsi"/>
        </w:rPr>
        <w:t>Table 10</w:t>
      </w:r>
      <w:r w:rsidR="007F56B5" w:rsidRPr="00EB1D71">
        <w:rPr>
          <w:rStyle w:val="TableHyperlink"/>
          <w:rFonts w:asciiTheme="minorHAnsi" w:hAnsiTheme="minorHAnsi" w:cstheme="minorHAnsi"/>
        </w:rPr>
        <w:fldChar w:fldCharType="end"/>
      </w:r>
      <w:r w:rsidRPr="00EB1D71">
        <w:rPr>
          <w:rFonts w:asciiTheme="minorHAnsi" w:hAnsiTheme="minorHAnsi" w:cstheme="minorHAnsi"/>
        </w:rPr>
        <w:t xml:space="preserve">). It was also clear in our results from industry feedback in the workshop sessions that there is a need for clear guidance for farmers and advisors on interpreting results from PMN analysis. This is largely reflected in academic interpretations of PMN too: in the sources utilised in the evidence review, PMN is described as “A combined measure of soil biological activity and substrate available to mineralise nitrogen to make it available to the plant” </w:t>
      </w:r>
      <w:sdt>
        <w:sdtPr>
          <w:rPr>
            <w:rFonts w:asciiTheme="minorHAnsi" w:hAnsiTheme="minorHAnsi" w:cstheme="minorHAnsi"/>
          </w:rPr>
          <w:tag w:val="MENDELEY_CITATION_v3_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"/>
          <w:id w:val="-216438626"/>
          <w:placeholder>
            <w:docPart w:val="D0486A74254246619000565A117D1296"/>
          </w:placeholder>
        </w:sdtPr>
        <w:sdtEndPr/>
        <w:sdtContent>
          <w:r w:rsidRPr="00EB1D71">
            <w:rPr>
              <w:rFonts w:asciiTheme="minorHAnsi" w:hAnsiTheme="minorHAnsi" w:cstheme="minorHAnsi"/>
            </w:rPr>
            <w:t>(Deeks &amp; Rickson, 2023)</w:t>
          </w:r>
        </w:sdtContent>
      </w:sdt>
      <w:r w:rsidRPr="00EB1D71">
        <w:rPr>
          <w:rFonts w:asciiTheme="minorHAnsi" w:hAnsiTheme="minorHAnsi" w:cstheme="minorHAnsi"/>
        </w:rPr>
        <w:t xml:space="preserve">, a “soil biological indicator… related main soil functions” </w:t>
      </w:r>
      <w:sdt>
        <w:sdtPr>
          <w:rPr>
            <w:rFonts w:asciiTheme="minorHAnsi" w:hAnsiTheme="minorHAnsi" w:cstheme="minorHAnsi"/>
          </w:rPr>
          <w:tag w:val="MENDELEY_CITATION_v3_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"/>
          <w:id w:val="-388494037"/>
          <w:placeholder>
            <w:docPart w:val="D0486A74254246619000565A117D1296"/>
          </w:placeholder>
        </w:sdtPr>
        <w:sdtEndPr/>
        <w:sdtContent>
          <w:r w:rsidRPr="00EB1D71">
            <w:rPr>
              <w:rFonts w:asciiTheme="minorHAnsi" w:hAnsiTheme="minorHAnsi" w:cstheme="minorHAnsi"/>
            </w:rPr>
            <w:t>(</w:t>
          </w:r>
          <w:proofErr w:type="spellStart"/>
          <w:r w:rsidRPr="00EB1D71">
            <w:rPr>
              <w:rFonts w:asciiTheme="minorHAnsi" w:hAnsiTheme="minorHAnsi" w:cstheme="minorHAnsi"/>
            </w:rPr>
            <w:t>Bünemann</w:t>
          </w:r>
          <w:proofErr w:type="spellEnd"/>
          <w:r w:rsidRPr="00EB1D71">
            <w:rPr>
              <w:rFonts w:asciiTheme="minorHAnsi" w:hAnsiTheme="minorHAnsi" w:cstheme="minorHAnsi"/>
            </w:rPr>
            <w:t xml:space="preserve"> et al., 2018)</w:t>
          </w:r>
        </w:sdtContent>
      </w:sdt>
      <w:r w:rsidRPr="00EB1D71">
        <w:rPr>
          <w:rFonts w:asciiTheme="minorHAnsi" w:hAnsiTheme="minorHAnsi" w:cstheme="minorHAnsi"/>
        </w:rPr>
        <w:t xml:space="preserve">, and as having a “relation to nutrient availability and a theorized relationship </w:t>
      </w:r>
      <w:r w:rsidRPr="00EB1D71">
        <w:rPr>
          <w:rFonts w:asciiTheme="minorHAnsi" w:hAnsiTheme="minorHAnsi" w:cstheme="minorHAnsi"/>
        </w:rPr>
        <w:lastRenderedPageBreak/>
        <w:t xml:space="preserve">between microbial activity and plant productivity” </w:t>
      </w:r>
      <w:sdt>
        <w:sdtPr>
          <w:rPr>
            <w:rFonts w:asciiTheme="minorHAnsi" w:hAnsiTheme="minorHAnsi" w:cstheme="minorHAnsi"/>
            <w:color w:val="000000"/>
          </w:rPr>
          <w:tag w:val="MENDELEY_CITATION_v3_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"/>
          <w:id w:val="-994339726"/>
          <w:placeholder>
            <w:docPart w:val="D0486A74254246619000565A117D1296"/>
          </w:placeholder>
        </w:sdtPr>
        <w:sdtEndPr/>
        <w:sdtContent>
          <w:r w:rsidRPr="00EB1D71">
            <w:rPr>
              <w:rFonts w:asciiTheme="minorHAnsi" w:hAnsiTheme="minorHAnsi" w:cstheme="minorHAnsi"/>
              <w:color w:val="000000"/>
            </w:rPr>
            <w:t>(Stott, 2019)</w:t>
          </w:r>
        </w:sdtContent>
      </w:sdt>
      <w:r w:rsidRPr="00EB1D71">
        <w:rPr>
          <w:rFonts w:asciiTheme="minorHAnsi" w:hAnsiTheme="minorHAnsi" w:cstheme="minorHAnsi"/>
        </w:rPr>
        <w:t xml:space="preserve">. While these interpretations all fall largely along the same lines, they do reflect uncertainty in the interpretation of PMN, with no widely accepted citation or definition used. </w:t>
      </w:r>
    </w:p>
    <w:p w14:paraId="093FCD9D" w14:textId="77777777" w:rsidR="007E3608" w:rsidRPr="00EB1D71" w:rsidRDefault="007E3608" w:rsidP="007E0F91">
      <w:pPr>
        <w:rPr>
          <w:rFonts w:asciiTheme="minorHAnsi" w:hAnsiTheme="minorHAnsi" w:cstheme="minorHAnsi"/>
        </w:rPr>
      </w:pPr>
      <w:r w:rsidRPr="00EB1D71">
        <w:rPr>
          <w:rFonts w:asciiTheme="minorHAnsi" w:hAnsiTheme="minorHAnsi" w:cstheme="minorHAnsi"/>
        </w:rPr>
        <w:t xml:space="preserve">While there are subtle differences in academic interpretations of PMN, it does largely fall within the label of a biological indicator in academic literature, due to its potential relation to microbial activity e.g. </w:t>
      </w:r>
      <w:sdt>
        <w:sdtPr>
          <w:rPr>
            <w:rFonts w:asciiTheme="minorHAnsi" w:hAnsiTheme="minorHAnsi" w:cstheme="minorHAnsi"/>
            <w:color w:val="000000"/>
          </w:rPr>
          <w:tag w:val="MENDELEY_CITATION_v3_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"/>
          <w:id w:val="777071793"/>
          <w:placeholder>
            <w:docPart w:val="D0486A74254246619000565A117D1296"/>
          </w:placeholder>
        </w:sdtPr>
        <w:sdtEndPr/>
        <w:sdtContent>
          <w:r w:rsidRPr="00EB1D71">
            <w:rPr>
              <w:rFonts w:asciiTheme="minorHAnsi" w:hAnsiTheme="minorHAnsi" w:cstheme="minorHAnsi"/>
              <w:color w:val="000000"/>
            </w:rPr>
            <w:t>Bonde et al. (1988)</w:t>
          </w:r>
        </w:sdtContent>
      </w:sdt>
      <w:r w:rsidRPr="00EB1D71">
        <w:rPr>
          <w:rFonts w:asciiTheme="minorHAnsi" w:hAnsiTheme="minorHAnsi" w:cstheme="minorHAnsi"/>
        </w:rPr>
        <w:t xml:space="preserve"> This was not however reflected in discussion with farmers and advisors at the industry workshops, in which participants expressed surprise at the shortlist for not including a biological indicator despite PMN being included in the shortlist. This reflects a need for improved understanding of PMN as an indicator, but also the ongoing issue of identifying useful and meaningful biological indicators for soil health. </w:t>
      </w:r>
    </w:p>
    <w:p w14:paraId="29C669B6" w14:textId="17F6EA18" w:rsidR="007E3608" w:rsidRPr="00EB1D71" w:rsidRDefault="007E3608" w:rsidP="007E0F91">
      <w:pPr>
        <w:rPr>
          <w:rFonts w:asciiTheme="minorHAnsi" w:hAnsiTheme="minorHAnsi" w:cstheme="minorHAnsi"/>
        </w:rPr>
      </w:pPr>
      <w:r w:rsidRPr="00EB1D71">
        <w:rPr>
          <w:rFonts w:asciiTheme="minorHAnsi" w:hAnsiTheme="minorHAnsi" w:cstheme="minorHAnsi"/>
        </w:rPr>
        <w:t xml:space="preserve">Aggregate stability is an indicator identified by </w:t>
      </w:r>
      <w:sdt>
        <w:sdtPr>
          <w:rPr>
            <w:rFonts w:asciiTheme="minorHAnsi" w:hAnsiTheme="minorHAnsi" w:cstheme="minorHAnsi"/>
            <w:color w:val="000000"/>
          </w:rPr>
          <w:tag w:val="MENDELEY_CITATION_v3_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"/>
          <w:id w:val="837043286"/>
          <w:placeholder>
            <w:docPart w:val="D0486A74254246619000565A117D1296"/>
          </w:placeholder>
        </w:sdtPr>
        <w:sdtEndPr/>
        <w:sdtContent>
          <w:r w:rsidRPr="00EB1D71">
            <w:rPr>
              <w:rFonts w:asciiTheme="minorHAnsi" w:eastAsia="Times New Roman" w:hAnsiTheme="minorHAnsi" w:cstheme="minorHAnsi"/>
              <w:color w:val="000000"/>
            </w:rPr>
            <w:t>Deeks &amp; Rickson (2023)</w:t>
          </w:r>
        </w:sdtContent>
      </w:sdt>
      <w:r w:rsidRPr="00EB1D71">
        <w:rPr>
          <w:rFonts w:asciiTheme="minorHAnsi" w:hAnsiTheme="minorHAnsi" w:cstheme="minorHAnsi"/>
        </w:rPr>
        <w:t xml:space="preserve"> as sensitive to soil management, particularly </w:t>
      </w:r>
      <w:proofErr w:type="spellStart"/>
      <w:r w:rsidRPr="00EB1D71">
        <w:rPr>
          <w:rFonts w:asciiTheme="minorHAnsi" w:hAnsiTheme="minorHAnsi" w:cstheme="minorHAnsi"/>
        </w:rPr>
        <w:t>macroaggregation</w:t>
      </w:r>
      <w:proofErr w:type="spellEnd"/>
      <w:r w:rsidRPr="00EB1D71">
        <w:rPr>
          <w:rFonts w:asciiTheme="minorHAnsi" w:hAnsiTheme="minorHAnsi" w:cstheme="minorHAnsi"/>
        </w:rPr>
        <w:t>. Macroaggregates (250 </w:t>
      </w:r>
      <w:proofErr w:type="spellStart"/>
      <w:r w:rsidRPr="00EB1D71">
        <w:rPr>
          <w:rFonts w:asciiTheme="minorHAnsi" w:hAnsiTheme="minorHAnsi" w:cstheme="minorHAnsi"/>
        </w:rPr>
        <w:t>μm</w:t>
      </w:r>
      <w:proofErr w:type="spellEnd"/>
      <w:r w:rsidRPr="00EB1D71">
        <w:rPr>
          <w:rFonts w:asciiTheme="minorHAnsi" w:hAnsiTheme="minorHAnsi" w:cstheme="minorHAnsi"/>
        </w:rPr>
        <w:t xml:space="preserve">–2 mm) are more susceptible to disruption by crop management practices making them a potentially useful, sensitive early indicator of changes in soil health </w:t>
      </w:r>
      <w:sdt>
        <w:sdtPr>
          <w:rPr>
            <w:rFonts w:asciiTheme="minorHAnsi" w:hAnsiTheme="minorHAnsi" w:cstheme="minorHAnsi"/>
            <w:color w:val="000000"/>
          </w:rPr>
          <w:tag w:val="MENDELEY_CITATION_v3_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"/>
          <w:id w:val="1373654743"/>
          <w:placeholder>
            <w:docPart w:val="D0486A74254246619000565A117D1296"/>
          </w:placeholder>
        </w:sdtPr>
        <w:sdtEndPr/>
        <w:sdtContent>
          <w:r w:rsidRPr="00EB1D71">
            <w:rPr>
              <w:rFonts w:asciiTheme="minorHAnsi" w:eastAsia="Times New Roman" w:hAnsiTheme="minorHAnsi" w:cstheme="minorHAnsi"/>
              <w:color w:val="000000"/>
            </w:rPr>
            <w:t>(Howe &amp; Smith, 2021; Scow, 1997)</w:t>
          </w:r>
        </w:sdtContent>
      </w:sdt>
      <w:r w:rsidRPr="00EB1D71">
        <w:rPr>
          <w:rFonts w:asciiTheme="minorHAnsi" w:hAnsiTheme="minorHAnsi" w:cstheme="minorHAnsi"/>
        </w:rPr>
        <w:t xml:space="preserve">.  </w:t>
      </w:r>
      <w:sdt>
        <w:sdtPr>
          <w:rPr>
            <w:rFonts w:asciiTheme="minorHAnsi" w:hAnsiTheme="minorHAnsi" w:cstheme="minorHAnsi"/>
            <w:color w:val="000000"/>
          </w:rPr>
          <w:tag w:val="MENDELEY_CITATION_v3_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"/>
          <w:id w:val="1827699593"/>
          <w:placeholder>
            <w:docPart w:val="D0486A74254246619000565A117D1296"/>
          </w:placeholder>
        </w:sdtPr>
        <w:sdtEndPr/>
        <w:sdtContent>
          <w:r w:rsidRPr="00EB1D71">
            <w:rPr>
              <w:rFonts w:asciiTheme="minorHAnsi" w:hAnsiTheme="minorHAnsi" w:cstheme="minorHAnsi"/>
              <w:color w:val="000000"/>
            </w:rPr>
            <w:t>Stott (2019)</w:t>
          </w:r>
        </w:sdtContent>
      </w:sdt>
      <w:r w:rsidRPr="00EB1D71">
        <w:rPr>
          <w:rFonts w:asciiTheme="minorHAnsi" w:hAnsiTheme="minorHAnsi" w:cstheme="minorHAnsi"/>
        </w:rPr>
        <w:t xml:space="preserve"> highlight that the aggregate formation integrates soil biological, physical and chemical processes, making it a key indicator of soil health, also highlighting the potential for differences in </w:t>
      </w:r>
      <w:r w:rsidR="00BA2595">
        <w:rPr>
          <w:rFonts w:asciiTheme="minorHAnsi" w:hAnsiTheme="minorHAnsi" w:cstheme="minorHAnsi"/>
        </w:rPr>
        <w:t>aggregate stability</w:t>
      </w:r>
      <w:r w:rsidRPr="00EB1D71">
        <w:rPr>
          <w:rFonts w:asciiTheme="minorHAnsi" w:hAnsiTheme="minorHAnsi" w:cstheme="minorHAnsi"/>
        </w:rPr>
        <w:t xml:space="preserve"> to be detected just 1-3 years following a management change.</w:t>
      </w:r>
    </w:p>
    <w:p w14:paraId="0850EEDC" w14:textId="77777777" w:rsidR="007E3608" w:rsidRPr="00EB1D71" w:rsidRDefault="007E3608" w:rsidP="007E0F91">
      <w:pPr>
        <w:rPr>
          <w:rFonts w:asciiTheme="minorHAnsi" w:hAnsiTheme="minorHAnsi" w:cstheme="minorHAnsi"/>
        </w:rPr>
      </w:pPr>
      <w:r w:rsidRPr="00EB1D71">
        <w:rPr>
          <w:rFonts w:asciiTheme="minorHAnsi" w:hAnsiTheme="minorHAnsi" w:cstheme="minorHAnsi"/>
        </w:rPr>
        <w:t xml:space="preserve">Soil structure and aggregation is evaluated in the current SHSc using VESS. VESS is somewhat limited by the subjectivity of results which are only “semi-quantitative” </w:t>
      </w:r>
      <w:sdt>
        <w:sdtPr>
          <w:rPr>
            <w:rFonts w:asciiTheme="minorHAnsi" w:hAnsiTheme="minorHAnsi" w:cstheme="minorHAnsi"/>
          </w:rPr>
          <w:tag w:val="MENDELEY_CITATION_v3_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"/>
          <w:id w:val="1330022680"/>
          <w:placeholder>
            <w:docPart w:val="D0486A74254246619000565A117D1296"/>
          </w:placeholder>
        </w:sdtPr>
        <w:sdtEndPr/>
        <w:sdtContent>
          <w:r w:rsidRPr="00EB1D71">
            <w:rPr>
              <w:rFonts w:asciiTheme="minorHAnsi" w:hAnsiTheme="minorHAnsi" w:cstheme="minorHAnsi"/>
            </w:rPr>
            <w:t>(Rabot et al., 2018)</w:t>
          </w:r>
        </w:sdtContent>
      </w:sdt>
      <w:r w:rsidRPr="00EB1D71">
        <w:rPr>
          <w:rFonts w:asciiTheme="minorHAnsi" w:hAnsiTheme="minorHAnsi" w:cstheme="minorHAnsi"/>
        </w:rPr>
        <w:t xml:space="preserve">. It is not clear whether VESS scoring is precise enough to detect changes in macroaggregate structure in a short </w:t>
      </w:r>
      <w:proofErr w:type="gramStart"/>
      <w:r w:rsidRPr="00EB1D71">
        <w:rPr>
          <w:rFonts w:asciiTheme="minorHAnsi" w:hAnsiTheme="minorHAnsi" w:cstheme="minorHAnsi"/>
        </w:rPr>
        <w:t>time period</w:t>
      </w:r>
      <w:proofErr w:type="gramEnd"/>
      <w:r w:rsidRPr="00EB1D71">
        <w:rPr>
          <w:rFonts w:asciiTheme="minorHAnsi" w:hAnsiTheme="minorHAnsi" w:cstheme="minorHAnsi"/>
        </w:rPr>
        <w:t xml:space="preserve">; VESS is scored using a discrete scale from 1 (good) to 5 (poor). </w:t>
      </w:r>
    </w:p>
    <w:p w14:paraId="5E1FB115" w14:textId="46406CF1" w:rsidR="009A3BF6" w:rsidRPr="00EB1D71" w:rsidRDefault="007E3608" w:rsidP="007E0F91">
      <w:pPr>
        <w:rPr>
          <w:rFonts w:asciiTheme="minorHAnsi" w:hAnsiTheme="minorHAnsi" w:cstheme="minorHAnsi"/>
        </w:rPr>
      </w:pPr>
      <w:r w:rsidRPr="00EB1D71">
        <w:rPr>
          <w:rFonts w:asciiTheme="minorHAnsi" w:hAnsiTheme="minorHAnsi" w:cstheme="minorHAnsi"/>
        </w:rPr>
        <w:t xml:space="preserve">Aggregate stability assessed using a wet sieving procedure was the preferred method in this review; however, it is not currently available through commercial laboratories in the UK. Slake testing was a clear favourite among stakeholders since it can be conducted by farmers and there are </w:t>
      </w:r>
      <w:proofErr w:type="gramStart"/>
      <w:r w:rsidRPr="00EB1D71">
        <w:rPr>
          <w:rFonts w:asciiTheme="minorHAnsi" w:hAnsiTheme="minorHAnsi" w:cstheme="minorHAnsi"/>
        </w:rPr>
        <w:t>a number of</w:t>
      </w:r>
      <w:proofErr w:type="gramEnd"/>
      <w:r w:rsidRPr="00EB1D71">
        <w:rPr>
          <w:rFonts w:asciiTheme="minorHAnsi" w:hAnsiTheme="minorHAnsi" w:cstheme="minorHAnsi"/>
        </w:rPr>
        <w:t xml:space="preserve"> methods now available, particularly using phone apps. Results of slake testing can be reasonably well correlated with laboratory measures of aggregate stability as illustrated by the results of NAPESHM (</w:t>
      </w:r>
      <w:r w:rsidR="009A568B" w:rsidRPr="00EB1D71">
        <w:rPr>
          <w:rStyle w:val="TableHyperlink"/>
          <w:rFonts w:asciiTheme="minorHAnsi" w:hAnsiTheme="minorHAnsi" w:cstheme="minorHAnsi"/>
        </w:rPr>
        <w:fldChar w:fldCharType="begin"/>
      </w:r>
      <w:r w:rsidR="009A568B" w:rsidRPr="00EB1D71">
        <w:rPr>
          <w:rStyle w:val="TableHyperlink"/>
          <w:rFonts w:asciiTheme="minorHAnsi" w:hAnsiTheme="minorHAnsi" w:cstheme="minorHAnsi"/>
        </w:rPr>
        <w:instrText xml:space="preserve"> REF _Ref229661605 \h </w:instrText>
      </w:r>
      <w:r w:rsidR="00E522A8" w:rsidRPr="00EB1D71">
        <w:rPr>
          <w:rStyle w:val="TableHyperlink"/>
          <w:rFonts w:asciiTheme="minorHAnsi" w:hAnsiTheme="minorHAnsi" w:cstheme="minorHAnsi"/>
        </w:rPr>
        <w:instrText xml:space="preserve"> \* MERGEFORMAT </w:instrText>
      </w:r>
      <w:r w:rsidR="009A568B" w:rsidRPr="00EB1D71">
        <w:rPr>
          <w:rStyle w:val="TableHyperlink"/>
          <w:rFonts w:asciiTheme="minorHAnsi" w:hAnsiTheme="minorHAnsi" w:cstheme="minorHAnsi"/>
        </w:rPr>
      </w:r>
      <w:r w:rsidR="009A568B" w:rsidRPr="00EB1D71">
        <w:rPr>
          <w:rStyle w:val="TableHyperlink"/>
          <w:rFonts w:asciiTheme="minorHAnsi" w:hAnsiTheme="minorHAnsi" w:cstheme="minorHAnsi"/>
        </w:rPr>
        <w:fldChar w:fldCharType="separate"/>
      </w:r>
      <w:r w:rsidR="009A568B" w:rsidRPr="00EB1D71">
        <w:rPr>
          <w:rStyle w:val="TableHyperlink"/>
          <w:rFonts w:asciiTheme="minorHAnsi" w:hAnsiTheme="minorHAnsi" w:cstheme="minorHAnsi"/>
        </w:rPr>
        <w:t>Figure 12</w:t>
      </w:r>
      <w:r w:rsidR="009A568B" w:rsidRPr="00EB1D71">
        <w:rPr>
          <w:rStyle w:val="TableHyperlink"/>
          <w:rFonts w:asciiTheme="minorHAnsi" w:hAnsiTheme="minorHAnsi" w:cstheme="minorHAnsi"/>
        </w:rPr>
        <w:fldChar w:fldCharType="end"/>
      </w:r>
      <w:r w:rsidRPr="00EB1D71">
        <w:rPr>
          <w:rFonts w:asciiTheme="minorHAnsi" w:hAnsiTheme="minorHAnsi" w:cstheme="minorHAnsi"/>
        </w:rPr>
        <w:t xml:space="preserve">; generated from data sourced </w:t>
      </w:r>
      <w:r w:rsidR="009C2357" w:rsidRPr="00EB1D71">
        <w:rPr>
          <w:rFonts w:asciiTheme="minorHAnsi" w:hAnsiTheme="minorHAnsi" w:cstheme="minorHAnsi"/>
        </w:rPr>
        <w:t>during</w:t>
      </w:r>
      <w:r w:rsidRPr="00EB1D71">
        <w:rPr>
          <w:rFonts w:asciiTheme="minorHAnsi" w:hAnsiTheme="minorHAnsi" w:cstheme="minorHAnsi"/>
        </w:rPr>
        <w:t xml:space="preserve"> this project) and various peer-reviewed studies</w:t>
      </w:r>
      <w:r w:rsidRPr="00EB1D71">
        <w:rPr>
          <w:rFonts w:asciiTheme="minorHAnsi" w:hAnsiTheme="minorHAnsi" w:cstheme="minorHAnsi"/>
          <w:color w:val="0082CA" w:themeColor="text1"/>
        </w:rPr>
        <w:t xml:space="preserve"> </w:t>
      </w:r>
      <w:sdt>
        <w:sdtPr>
          <w:rPr>
            <w:rFonts w:asciiTheme="minorHAnsi" w:hAnsiTheme="minorHAnsi" w:cstheme="minorHAnsi"/>
          </w:rPr>
          <w:tag w:val="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"/>
          <w:id w:val="901172292"/>
          <w:placeholder>
            <w:docPart w:val="70470519F46F4AE7BF3437C4A9F850A3"/>
          </w:placeholder>
        </w:sdtPr>
        <w:sdtEndPr/>
        <w:sdtContent>
          <w:r w:rsidRPr="00EB1D71">
            <w:rPr>
              <w:rFonts w:asciiTheme="minorHAnsi" w:hAnsiTheme="minorHAnsi" w:cstheme="minorHAnsi"/>
            </w:rPr>
            <w:t xml:space="preserve">(Fajardo et al., 2025; Flynn et al., 2020; </w:t>
          </w:r>
          <w:proofErr w:type="spellStart"/>
          <w:r w:rsidRPr="00EB1D71">
            <w:rPr>
              <w:rFonts w:asciiTheme="minorHAnsi" w:hAnsiTheme="minorHAnsi" w:cstheme="minorHAnsi"/>
            </w:rPr>
            <w:t>Trybek</w:t>
          </w:r>
          <w:proofErr w:type="spellEnd"/>
          <w:r w:rsidRPr="00EB1D71">
            <w:rPr>
              <w:rFonts w:asciiTheme="minorHAnsi" w:hAnsiTheme="minorHAnsi" w:cstheme="minorHAnsi"/>
            </w:rPr>
            <w:t xml:space="preserve"> et al., 2026)</w:t>
          </w:r>
        </w:sdtContent>
      </w:sdt>
      <w:r w:rsidRPr="00EB1D71">
        <w:rPr>
          <w:rFonts w:asciiTheme="minorHAnsi" w:hAnsiTheme="minorHAnsi" w:cstheme="minorHAnsi"/>
        </w:rPr>
        <w:t>.</w:t>
      </w:r>
    </w:p>
    <w:p w14:paraId="57E322ED" w14:textId="77777777" w:rsidR="00E34291" w:rsidRPr="00EB1D71" w:rsidRDefault="00E34291" w:rsidP="007E0F91">
      <w:pPr>
        <w:rPr>
          <w:rFonts w:asciiTheme="minorHAnsi" w:hAnsiTheme="minorHAnsi" w:cstheme="minorHAnsi"/>
        </w:rPr>
      </w:pPr>
      <w:r w:rsidRPr="00EB1D71">
        <w:rPr>
          <w:rFonts w:asciiTheme="minorHAnsi" w:hAnsiTheme="minorHAnsi" w:cstheme="minorHAnsi"/>
        </w:rPr>
        <w:t xml:space="preserve">It should be acknowledged that slake testing may be less suitable in some soil types. </w:t>
      </w:r>
      <w:sdt>
        <w:sdtPr>
          <w:rPr>
            <w:rFonts w:asciiTheme="minorHAnsi" w:hAnsiTheme="minorHAnsi" w:cstheme="minorHAnsi"/>
            <w:color w:val="000000"/>
          </w:rPr>
          <w:tag w:val="MENDELEY_CITATION_v3_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"/>
          <w:id w:val="373660485"/>
          <w:placeholder>
            <w:docPart w:val="52E1102126B34D5D8760B5019461AA57"/>
          </w:placeholder>
        </w:sdtPr>
        <w:sdtEndPr/>
        <w:sdtContent>
          <w:proofErr w:type="spellStart"/>
          <w:r w:rsidRPr="00EB1D71">
            <w:rPr>
              <w:rFonts w:asciiTheme="minorHAnsi" w:hAnsiTheme="minorHAnsi" w:cstheme="minorHAnsi"/>
              <w:color w:val="000000"/>
            </w:rPr>
            <w:t>Adetsu</w:t>
          </w:r>
          <w:proofErr w:type="spellEnd"/>
          <w:r w:rsidRPr="00EB1D71">
            <w:rPr>
              <w:rFonts w:asciiTheme="minorHAnsi" w:hAnsiTheme="minorHAnsi" w:cstheme="minorHAnsi"/>
              <w:color w:val="000000"/>
            </w:rPr>
            <w:t xml:space="preserve"> et al. (2024)</w:t>
          </w:r>
        </w:sdtContent>
      </w:sdt>
      <w:r w:rsidRPr="00EB1D71">
        <w:rPr>
          <w:rFonts w:asciiTheme="minorHAnsi" w:hAnsiTheme="minorHAnsi" w:cstheme="minorHAnsi"/>
        </w:rPr>
        <w:t xml:space="preserve"> reported that sandy soils may be less susceptible to slaking due to their larger pore sizes requiring a longer period of immersion in water for the soil aggregate to break apart. In addition, while soil sampling for farmer-led slake testing is simple, there is potential to disrupt aggregates during transport from the field, so care needs to be taken to obtain reliable results.</w:t>
      </w:r>
    </w:p>
    <w:p w14:paraId="73298C46" w14:textId="77777777" w:rsidR="00E34291" w:rsidRPr="00EB1D71" w:rsidRDefault="00E34291" w:rsidP="007E3608">
      <w:pPr>
        <w:rPr>
          <w:rFonts w:asciiTheme="minorHAnsi" w:hAnsiTheme="minorHAnsi" w:cstheme="minorHAnsi"/>
        </w:rPr>
      </w:pPr>
    </w:p>
    <w:p w14:paraId="32D89E2D" w14:textId="2915AF4C" w:rsidR="007E3608" w:rsidRPr="00EB1D71" w:rsidRDefault="007E3608" w:rsidP="007E3608">
      <w:pPr>
        <w:pStyle w:val="Caption"/>
        <w:keepNext/>
        <w:rPr>
          <w:rFonts w:asciiTheme="minorHAnsi" w:hAnsiTheme="minorHAnsi" w:cstheme="minorHAnsi"/>
          <w:color w:val="000000"/>
        </w:rPr>
      </w:pPr>
      <w:bookmarkStart w:id="105" w:name="_Ref229661605"/>
      <w:bookmarkStart w:id="106" w:name="_Toc228622136"/>
      <w:r w:rsidRPr="00EB1D71">
        <w:rPr>
          <w:rFonts w:asciiTheme="minorHAnsi" w:hAnsiTheme="minorHAnsi" w:cstheme="minorHAnsi"/>
        </w:rPr>
        <w:lastRenderedPageBreak/>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12</w:t>
      </w:r>
      <w:r w:rsidR="007D3945">
        <w:rPr>
          <w:rFonts w:asciiTheme="minorHAnsi" w:hAnsiTheme="minorHAnsi" w:cstheme="minorHAnsi"/>
        </w:rPr>
        <w:fldChar w:fldCharType="end"/>
      </w:r>
      <w:bookmarkEnd w:id="105"/>
      <w:r w:rsidRPr="00EB1D71">
        <w:rPr>
          <w:rFonts w:asciiTheme="minorHAnsi" w:hAnsiTheme="minorHAnsi" w:cstheme="minorHAnsi"/>
        </w:rPr>
        <w:t>. Relationship between slake testing using a phone app and aggregate stability measured by sprinkle infiltrometer. North American Project to Evaluate Soil Health Measurements (NAPESHM). N=1453</w:t>
      </w:r>
      <w:bookmarkEnd w:id="106"/>
    </w:p>
    <w:p w14:paraId="0503A418" w14:textId="23E8DC72" w:rsidR="007E3608" w:rsidRPr="00EB1D71" w:rsidRDefault="007E3608">
      <w:pPr>
        <w:spacing w:line="278" w:lineRule="auto"/>
        <w:rPr>
          <w:rFonts w:asciiTheme="minorHAnsi" w:hAnsiTheme="minorHAnsi" w:cstheme="minorHAnsi"/>
        </w:rPr>
      </w:pPr>
      <w:r w:rsidRPr="00EB1D71">
        <w:rPr>
          <w:rFonts w:asciiTheme="minorHAnsi" w:hAnsiTheme="minorHAnsi" w:cstheme="minorHAnsi"/>
          <w:noProof/>
        </w:rPr>
        <w:drawing>
          <wp:inline distT="0" distB="0" distL="0" distR="0" wp14:anchorId="375DCAD8" wp14:editId="4DFE1909">
            <wp:extent cx="5759450" cy="3467996"/>
            <wp:effectExtent l="0" t="0" r="0" b="0"/>
            <wp:docPr id="584537288" name="Picture 5" descr="A scattergraph showing variability between the data points for slake test and aggregate stability. Despite the scattered datapoints there is a general trend towards a positive corre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37288" name="Picture 5" descr="A scattergraph showing variability between the data points for slake test and aggregate stability. Despite the scattered datapoints there is a general trend towards a positive correlation. "/>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759450" cy="3467996"/>
                    </a:xfrm>
                    <a:prstGeom prst="rect">
                      <a:avLst/>
                    </a:prstGeom>
                    <a:noFill/>
                  </pic:spPr>
                </pic:pic>
              </a:graphicData>
            </a:graphic>
          </wp:inline>
        </w:drawing>
      </w:r>
    </w:p>
    <w:p w14:paraId="15BCDEF5" w14:textId="77777777" w:rsidR="00B404D1" w:rsidRPr="0060067B" w:rsidRDefault="00B404D1" w:rsidP="00B404D1">
      <w:pPr>
        <w:pStyle w:val="Heading3"/>
        <w:rPr>
          <w:rFonts w:asciiTheme="minorHAnsi" w:hAnsiTheme="minorHAnsi" w:cstheme="minorHAnsi"/>
          <w:color w:val="006197" w:themeColor="text1" w:themeShade="BF"/>
        </w:rPr>
      </w:pPr>
      <w:bookmarkStart w:id="107" w:name="_Toc228622100"/>
      <w:bookmarkStart w:id="108" w:name="_Toc234580973"/>
      <w:r w:rsidRPr="0060067B">
        <w:rPr>
          <w:rFonts w:asciiTheme="minorHAnsi" w:hAnsiTheme="minorHAnsi" w:cstheme="minorHAnsi"/>
          <w:color w:val="006197" w:themeColor="text1" w:themeShade="BF"/>
        </w:rPr>
        <w:t>Limitations with biological indicators of soil function</w:t>
      </w:r>
      <w:bookmarkEnd w:id="107"/>
      <w:bookmarkEnd w:id="108"/>
    </w:p>
    <w:p w14:paraId="09C2277C" w14:textId="77777777" w:rsidR="00B404D1" w:rsidRPr="00EB1D71" w:rsidRDefault="00B404D1" w:rsidP="007E0F91">
      <w:pPr>
        <w:rPr>
          <w:rFonts w:asciiTheme="minorHAnsi" w:hAnsiTheme="minorHAnsi" w:cstheme="minorHAnsi"/>
        </w:rPr>
      </w:pPr>
      <w:r w:rsidRPr="00EB1D71">
        <w:rPr>
          <w:rFonts w:asciiTheme="minorHAnsi" w:hAnsiTheme="minorHAnsi" w:cstheme="minorHAnsi"/>
        </w:rPr>
        <w:t xml:space="preserve">The inclusion of appropriate biological indicators was a key consideration in the selection process for potential early indicators to monitor changes in soil health, acknowledging that </w:t>
      </w:r>
      <w:proofErr w:type="gramStart"/>
      <w:r w:rsidRPr="00EB1D71">
        <w:rPr>
          <w:rFonts w:asciiTheme="minorHAnsi" w:hAnsiTheme="minorHAnsi" w:cstheme="minorHAnsi"/>
        </w:rPr>
        <w:t>the majority of</w:t>
      </w:r>
      <w:proofErr w:type="gramEnd"/>
      <w:r w:rsidRPr="00EB1D71">
        <w:rPr>
          <w:rFonts w:asciiTheme="minorHAnsi" w:hAnsiTheme="minorHAnsi" w:cstheme="minorHAnsi"/>
        </w:rPr>
        <w:t xml:space="preserve"> soil processes are interlinked w</w:t>
      </w:r>
      <w:bookmarkStart w:id="109" w:name="bbib0009"/>
      <w:r w:rsidRPr="00EB1D71">
        <w:rPr>
          <w:rFonts w:asciiTheme="minorHAnsi" w:hAnsiTheme="minorHAnsi" w:cstheme="minorHAnsi"/>
        </w:rPr>
        <w:t xml:space="preserve">ith the living component of the soil </w:t>
      </w:r>
      <w:sdt>
        <w:sdtPr>
          <w:rPr>
            <w:rFonts w:asciiTheme="minorHAnsi" w:hAnsiTheme="minorHAnsi" w:cstheme="minorHAnsi"/>
            <w:color w:val="000000"/>
          </w:rPr>
          <w:tag w:val="MENDELEY_CITATION_v3_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"/>
          <w:id w:val="670770653"/>
          <w:placeholder>
            <w:docPart w:val="EBD0D16758D644CCA853F349FAF81B4B"/>
          </w:placeholder>
        </w:sdtPr>
        <w:sdtEndPr/>
        <w:sdtContent>
          <w:r w:rsidRPr="00EB1D71">
            <w:rPr>
              <w:rFonts w:asciiTheme="minorHAnsi" w:hAnsiTheme="minorHAnsi" w:cstheme="minorHAnsi"/>
              <w:color w:val="000000"/>
            </w:rPr>
            <w:t>(Stone et al., 2016)</w:t>
          </w:r>
        </w:sdtContent>
      </w:sdt>
      <w:r w:rsidRPr="00EB1D71">
        <w:rPr>
          <w:rFonts w:asciiTheme="minorHAnsi" w:hAnsiTheme="minorHAnsi" w:cstheme="minorHAnsi"/>
        </w:rPr>
        <w:t xml:space="preserve">. </w:t>
      </w:r>
      <w:bookmarkEnd w:id="109"/>
      <w:proofErr w:type="gramStart"/>
      <w:r w:rsidRPr="00EB1D71">
        <w:rPr>
          <w:rFonts w:asciiTheme="minorHAnsi" w:hAnsiTheme="minorHAnsi" w:cstheme="minorHAnsi"/>
        </w:rPr>
        <w:t>With this in mind, 7</w:t>
      </w:r>
      <w:proofErr w:type="gramEnd"/>
      <w:r w:rsidRPr="00EB1D71">
        <w:rPr>
          <w:rFonts w:asciiTheme="minorHAnsi" w:hAnsiTheme="minorHAnsi" w:cstheme="minorHAnsi"/>
        </w:rPr>
        <w:t xml:space="preserve"> in the longlist of 10 potential indicators, were biological in nature. These were: </w:t>
      </w:r>
    </w:p>
    <w:p w14:paraId="32127F02" w14:textId="77777777" w:rsidR="00E34291" w:rsidRPr="00EB1D71" w:rsidRDefault="00B404D1" w:rsidP="007E0F91">
      <w:pPr>
        <w:pStyle w:val="ListParagraph"/>
        <w:numPr>
          <w:ilvl w:val="0"/>
          <w:numId w:val="22"/>
        </w:numPr>
        <w:rPr>
          <w:rFonts w:asciiTheme="minorHAnsi" w:hAnsiTheme="minorHAnsi" w:cstheme="minorHAnsi"/>
        </w:rPr>
      </w:pPr>
      <w:r w:rsidRPr="00EB1D71">
        <w:rPr>
          <w:rFonts w:asciiTheme="minorHAnsi" w:hAnsiTheme="minorHAnsi" w:cstheme="minorHAnsi"/>
        </w:rPr>
        <w:t>Earthworms</w:t>
      </w:r>
    </w:p>
    <w:p w14:paraId="5817867A" w14:textId="77777777" w:rsidR="00E34291" w:rsidRPr="00EB1D71" w:rsidRDefault="00B404D1" w:rsidP="007E0F91">
      <w:pPr>
        <w:pStyle w:val="ListParagraph"/>
        <w:numPr>
          <w:ilvl w:val="0"/>
          <w:numId w:val="22"/>
        </w:numPr>
        <w:rPr>
          <w:rFonts w:asciiTheme="minorHAnsi" w:hAnsiTheme="minorHAnsi" w:cstheme="minorHAnsi"/>
        </w:rPr>
      </w:pPr>
      <w:r w:rsidRPr="00EB1D71">
        <w:rPr>
          <w:rFonts w:asciiTheme="minorHAnsi" w:hAnsiTheme="minorHAnsi" w:cstheme="minorHAnsi"/>
        </w:rPr>
        <w:t>CO</w:t>
      </w:r>
      <w:r w:rsidRPr="00EB1D71">
        <w:rPr>
          <w:rFonts w:asciiTheme="minorHAnsi" w:hAnsiTheme="minorHAnsi" w:cstheme="minorHAnsi"/>
          <w:vertAlign w:val="subscript"/>
        </w:rPr>
        <w:t>2</w:t>
      </w:r>
      <w:r w:rsidRPr="00EB1D71">
        <w:rPr>
          <w:rFonts w:asciiTheme="minorHAnsi" w:hAnsiTheme="minorHAnsi" w:cstheme="minorHAnsi"/>
        </w:rPr>
        <w:t xml:space="preserve"> burst</w:t>
      </w:r>
    </w:p>
    <w:p w14:paraId="393ABDD1" w14:textId="77777777" w:rsidR="00E34291" w:rsidRPr="00EB1D71" w:rsidRDefault="00B404D1" w:rsidP="007E0F91">
      <w:pPr>
        <w:pStyle w:val="ListParagraph"/>
        <w:numPr>
          <w:ilvl w:val="0"/>
          <w:numId w:val="22"/>
        </w:numPr>
        <w:rPr>
          <w:rFonts w:asciiTheme="minorHAnsi" w:hAnsiTheme="minorHAnsi" w:cstheme="minorHAnsi"/>
        </w:rPr>
      </w:pPr>
      <w:r w:rsidRPr="00EB1D71">
        <w:rPr>
          <w:rFonts w:asciiTheme="minorHAnsi" w:hAnsiTheme="minorHAnsi" w:cstheme="minorHAnsi"/>
        </w:rPr>
        <w:t xml:space="preserve">Potentially mineralisable nitrogen (PMN) </w:t>
      </w:r>
    </w:p>
    <w:p w14:paraId="2EAB5812" w14:textId="4AB7C3E8" w:rsidR="00E34291" w:rsidRPr="00EB1D71" w:rsidRDefault="00B404D1" w:rsidP="007E0F91">
      <w:pPr>
        <w:pStyle w:val="ListParagraph"/>
        <w:numPr>
          <w:ilvl w:val="0"/>
          <w:numId w:val="22"/>
        </w:numPr>
        <w:rPr>
          <w:rFonts w:asciiTheme="minorHAnsi" w:hAnsiTheme="minorHAnsi" w:cstheme="minorHAnsi"/>
        </w:rPr>
      </w:pPr>
      <w:r w:rsidRPr="00EB1D71">
        <w:rPr>
          <w:rFonts w:asciiTheme="minorHAnsi" w:hAnsiTheme="minorHAnsi" w:cstheme="minorHAnsi"/>
        </w:rPr>
        <w:t xml:space="preserve">Soil </w:t>
      </w:r>
      <w:proofErr w:type="spellStart"/>
      <w:r w:rsidRPr="00EB1D71">
        <w:rPr>
          <w:rFonts w:asciiTheme="minorHAnsi" w:hAnsiTheme="minorHAnsi" w:cstheme="minorHAnsi"/>
        </w:rPr>
        <w:t>foodweb</w:t>
      </w:r>
      <w:proofErr w:type="spellEnd"/>
      <w:r w:rsidRPr="00EB1D71">
        <w:rPr>
          <w:rFonts w:asciiTheme="minorHAnsi" w:hAnsiTheme="minorHAnsi" w:cstheme="minorHAnsi"/>
        </w:rPr>
        <w:t xml:space="preserve"> approaches, to assessing soil biota (e.g. including active and total bacteria and fungi and </w:t>
      </w:r>
      <w:proofErr w:type="spellStart"/>
      <w:r w:rsidRPr="00EB1D71">
        <w:rPr>
          <w:rFonts w:asciiTheme="minorHAnsi" w:hAnsiTheme="minorHAnsi" w:cstheme="minorHAnsi"/>
        </w:rPr>
        <w:t>F</w:t>
      </w:r>
      <w:r w:rsidR="00546386" w:rsidRPr="00EB1D71">
        <w:rPr>
          <w:rFonts w:asciiTheme="minorHAnsi" w:hAnsiTheme="minorHAnsi" w:cstheme="minorHAnsi"/>
        </w:rPr>
        <w:t>ungal</w:t>
      </w:r>
      <w:r w:rsidRPr="00EB1D71">
        <w:rPr>
          <w:rFonts w:asciiTheme="minorHAnsi" w:hAnsiTheme="minorHAnsi" w:cstheme="minorHAnsi"/>
        </w:rPr>
        <w:t>:B</w:t>
      </w:r>
      <w:r w:rsidR="00546386" w:rsidRPr="00EB1D71">
        <w:rPr>
          <w:rFonts w:asciiTheme="minorHAnsi" w:hAnsiTheme="minorHAnsi" w:cstheme="minorHAnsi"/>
        </w:rPr>
        <w:t>acterial</w:t>
      </w:r>
      <w:proofErr w:type="spellEnd"/>
      <w:r w:rsidRPr="00EB1D71">
        <w:rPr>
          <w:rFonts w:asciiTheme="minorHAnsi" w:hAnsiTheme="minorHAnsi" w:cstheme="minorHAnsi"/>
        </w:rPr>
        <w:t xml:space="preserve"> ratio)</w:t>
      </w:r>
    </w:p>
    <w:p w14:paraId="5A1DDFA6" w14:textId="77777777" w:rsidR="00E34291" w:rsidRPr="00EB1D71" w:rsidRDefault="00B404D1" w:rsidP="007E0F91">
      <w:pPr>
        <w:pStyle w:val="ListParagraph"/>
        <w:numPr>
          <w:ilvl w:val="0"/>
          <w:numId w:val="22"/>
        </w:numPr>
        <w:rPr>
          <w:rFonts w:asciiTheme="minorHAnsi" w:hAnsiTheme="minorHAnsi" w:cstheme="minorHAnsi"/>
        </w:rPr>
      </w:pPr>
      <w:r w:rsidRPr="00EB1D71">
        <w:rPr>
          <w:rFonts w:asciiTheme="minorHAnsi" w:hAnsiTheme="minorHAnsi" w:cstheme="minorHAnsi"/>
        </w:rPr>
        <w:t xml:space="preserve">Phospholipid fatty acids (PLFA) </w:t>
      </w:r>
    </w:p>
    <w:p w14:paraId="1B35CAF5" w14:textId="77777777" w:rsidR="00E34291" w:rsidRPr="00EB1D71" w:rsidRDefault="00B404D1" w:rsidP="007E0F91">
      <w:pPr>
        <w:pStyle w:val="ListParagraph"/>
        <w:numPr>
          <w:ilvl w:val="0"/>
          <w:numId w:val="22"/>
        </w:numPr>
        <w:rPr>
          <w:rFonts w:asciiTheme="minorHAnsi" w:hAnsiTheme="minorHAnsi" w:cstheme="minorHAnsi"/>
        </w:rPr>
      </w:pPr>
      <w:r w:rsidRPr="00EB1D71">
        <w:rPr>
          <w:rFonts w:asciiTheme="minorHAnsi" w:hAnsiTheme="minorHAnsi" w:cstheme="minorHAnsi"/>
        </w:rPr>
        <w:t xml:space="preserve">Enzyme assays </w:t>
      </w:r>
    </w:p>
    <w:p w14:paraId="1B088829" w14:textId="1B4E0580" w:rsidR="00B404D1" w:rsidRPr="00EB1D71" w:rsidRDefault="00B404D1" w:rsidP="007E0F91">
      <w:pPr>
        <w:pStyle w:val="ListParagraph"/>
        <w:numPr>
          <w:ilvl w:val="0"/>
          <w:numId w:val="22"/>
        </w:numPr>
        <w:rPr>
          <w:rFonts w:asciiTheme="minorHAnsi" w:hAnsiTheme="minorHAnsi" w:cstheme="minorHAnsi"/>
        </w:rPr>
      </w:pPr>
      <w:r w:rsidRPr="00EB1D71">
        <w:rPr>
          <w:rFonts w:asciiTheme="minorHAnsi" w:hAnsiTheme="minorHAnsi" w:cstheme="minorHAnsi"/>
        </w:rPr>
        <w:t xml:space="preserve">Functional gene analysis </w:t>
      </w:r>
    </w:p>
    <w:p w14:paraId="315C5D5E" w14:textId="77777777" w:rsidR="00B404D1" w:rsidRPr="00EB1D71" w:rsidRDefault="00B404D1" w:rsidP="007E0F91">
      <w:pPr>
        <w:rPr>
          <w:rFonts w:asciiTheme="minorHAnsi" w:hAnsiTheme="minorHAnsi" w:cstheme="minorHAnsi"/>
        </w:rPr>
      </w:pPr>
      <w:r w:rsidRPr="00EB1D71">
        <w:rPr>
          <w:rFonts w:asciiTheme="minorHAnsi" w:hAnsiTheme="minorHAnsi" w:cstheme="minorHAnsi"/>
        </w:rPr>
        <w:t xml:space="preserve">The proliferation of biological indicators in the longlist of early indicators to monitor changes in soil health was a response to the clear interest from AHDB levy payers in improving their understanding of soil biology, and a motivation to examine the candidate indicators closely to determine their suitability. However, most of the biological indicators were not shortlisted during the Delphi process by our expert panel. This reflected the developing nature of soil biological assessments. </w:t>
      </w:r>
    </w:p>
    <w:p w14:paraId="491C4E26" w14:textId="77777777" w:rsidR="00B404D1" w:rsidRPr="00EB1D71" w:rsidRDefault="00B404D1" w:rsidP="007E0F91">
      <w:pPr>
        <w:rPr>
          <w:rFonts w:asciiTheme="minorHAnsi" w:hAnsiTheme="minorHAnsi" w:cstheme="minorHAnsi"/>
        </w:rPr>
      </w:pPr>
      <w:r w:rsidRPr="00EB1D71">
        <w:rPr>
          <w:rFonts w:asciiTheme="minorHAnsi" w:hAnsiTheme="minorHAnsi" w:cstheme="minorHAnsi"/>
        </w:rPr>
        <w:t xml:space="preserve">An indicator of particular interest to workshop participants was the Soil Food Web Approach, as taught through Dr Elaine Ingham’s Soil Food Web School (typical cost for a foundation course is $4,999). Participants noted that the benefits of the approach were that they could carry out the assessment themselves, in their own time, and that the courses were aimed at non-academics. This was reflective of general feedback from workshop participants that they wanted indicators which they could implement themselves, and with immediate results that did not require postage to a laboratory. </w:t>
      </w:r>
    </w:p>
    <w:p w14:paraId="5803C6A7" w14:textId="3310A90F" w:rsidR="007E3608" w:rsidRPr="00EB1D71" w:rsidRDefault="00B404D1" w:rsidP="007E0F91">
      <w:pPr>
        <w:rPr>
          <w:rFonts w:asciiTheme="minorHAnsi" w:hAnsiTheme="minorHAnsi" w:cstheme="minorHAnsi"/>
        </w:rPr>
      </w:pPr>
      <w:r w:rsidRPr="00EB1D71">
        <w:rPr>
          <w:rFonts w:asciiTheme="minorHAnsi" w:hAnsiTheme="minorHAnsi" w:cstheme="minorHAnsi"/>
        </w:rPr>
        <w:lastRenderedPageBreak/>
        <w:t xml:space="preserve">As noted by the expert panel, innovative soil biological testing, such as PLFA or enzyme activity approaches, are widely used academically (e.g. </w:t>
      </w:r>
      <w:sdt>
        <w:sdtPr>
          <w:rPr>
            <w:rFonts w:asciiTheme="minorHAnsi" w:hAnsiTheme="minorHAnsi" w:cstheme="minorHAnsi"/>
            <w:color w:val="000000"/>
          </w:rPr>
          <w:tag w:val="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"/>
          <w:id w:val="-422655765"/>
          <w:placeholder>
            <w:docPart w:val="EBD0D16758D644CCA853F349FAF81B4B"/>
          </w:placeholder>
        </w:sdtPr>
        <w:sdtEndPr/>
        <w:sdtContent>
          <w:r w:rsidRPr="00EB1D71">
            <w:rPr>
              <w:rFonts w:asciiTheme="minorHAnsi" w:hAnsiTheme="minorHAnsi" w:cstheme="minorHAnsi"/>
              <w:color w:val="000000"/>
            </w:rPr>
            <w:t>van Galen et al., 2025</w:t>
          </w:r>
        </w:sdtContent>
      </w:sdt>
      <w:r w:rsidRPr="00EB1D71">
        <w:rPr>
          <w:rFonts w:asciiTheme="minorHAnsi" w:hAnsiTheme="minorHAnsi" w:cstheme="minorHAnsi"/>
        </w:rPr>
        <w:t xml:space="preserve">) but are still being developed for commercial application. Limitations include sampling difficulties, as samples for these methods must be rapidly frozen or as fresh as possible, making transportation to appropriate laboratories costly and logistically challenging. A key challenge for these biological tests as soil health indicators is in the strength of the links between indicator results and overall soil health (e.g. </w:t>
      </w:r>
      <w:sdt>
        <w:sdtPr>
          <w:rPr>
            <w:rFonts w:asciiTheme="minorHAnsi" w:hAnsiTheme="minorHAnsi" w:cstheme="minorHAnsi"/>
            <w:color w:val="000000"/>
          </w:rPr>
          <w:tag w:val="MENDELEY_CITATION_v3_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"/>
          <w:id w:val="1896543783"/>
          <w:placeholder>
            <w:docPart w:val="EBD0D16758D644CCA853F349FAF81B4B"/>
          </w:placeholder>
        </w:sdtPr>
        <w:sdtEndPr/>
        <w:sdtContent>
          <w:r w:rsidRPr="00EB1D71">
            <w:rPr>
              <w:rFonts w:asciiTheme="minorHAnsi" w:hAnsiTheme="minorHAnsi" w:cstheme="minorHAnsi"/>
              <w:color w:val="000000"/>
            </w:rPr>
            <w:t>Fierer et al., 2021</w:t>
          </w:r>
        </w:sdtContent>
      </w:sdt>
      <w:r w:rsidRPr="00EB1D71">
        <w:rPr>
          <w:rFonts w:asciiTheme="minorHAnsi" w:hAnsiTheme="minorHAnsi" w:cstheme="minorHAnsi"/>
        </w:rPr>
        <w:t xml:space="preserve">): many of these relationships are theoretical and not well tested in agricultural systems </w:t>
      </w:r>
      <w:sdt>
        <w:sdtPr>
          <w:rPr>
            <w:rFonts w:asciiTheme="minorHAnsi" w:hAnsiTheme="minorHAnsi" w:cstheme="minorHAnsi"/>
            <w:color w:val="000000"/>
          </w:rPr>
          <w:tag w:val="MENDELEY_CITATION_v3_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"/>
          <w:id w:val="1682305822"/>
          <w:placeholder>
            <w:docPart w:val="EBD0D16758D644CCA853F349FAF81B4B"/>
          </w:placeholder>
        </w:sdtPr>
        <w:sdtEndPr/>
        <w:sdtContent>
          <w:r w:rsidRPr="00EB1D71">
            <w:rPr>
              <w:rFonts w:asciiTheme="minorHAnsi" w:hAnsiTheme="minorHAnsi" w:cstheme="minorHAnsi"/>
              <w:color w:val="000000"/>
            </w:rPr>
            <w:t>(Semenov et al., 2025)</w:t>
          </w:r>
        </w:sdtContent>
      </w:sdt>
      <w:r w:rsidRPr="00EB1D71">
        <w:rPr>
          <w:rFonts w:asciiTheme="minorHAnsi" w:hAnsiTheme="minorHAnsi" w:cstheme="minorHAnsi"/>
        </w:rPr>
        <w:t xml:space="preserve">. Furthermore, biological indicators are known to be highly variable, both spatially and through time, thus potentially making them </w:t>
      </w:r>
      <w:r w:rsidRPr="00EB1D71">
        <w:rPr>
          <w:rFonts w:asciiTheme="minorHAnsi" w:hAnsiTheme="minorHAnsi" w:cstheme="minorHAnsi"/>
          <w:u w:val="single"/>
        </w:rPr>
        <w:t>too</w:t>
      </w:r>
      <w:r w:rsidRPr="00EB1D71">
        <w:rPr>
          <w:rFonts w:asciiTheme="minorHAnsi" w:hAnsiTheme="minorHAnsi" w:cstheme="minorHAnsi"/>
        </w:rPr>
        <w:t xml:space="preserve"> sensitive for use as an early indicator to monitor changes in soil health. These considerations were key in the exclusion of other biological indicators from the recommended shortlist.</w:t>
      </w:r>
    </w:p>
    <w:p w14:paraId="1E622655" w14:textId="77777777" w:rsidR="00B404D1" w:rsidRPr="00AE2A6A" w:rsidRDefault="00B404D1" w:rsidP="00B404D1">
      <w:pPr>
        <w:pStyle w:val="Heading3"/>
        <w:rPr>
          <w:rFonts w:asciiTheme="minorHAnsi" w:hAnsiTheme="minorHAnsi" w:cstheme="minorHAnsi"/>
          <w:color w:val="006197" w:themeColor="text1" w:themeShade="BF"/>
        </w:rPr>
      </w:pPr>
      <w:bookmarkStart w:id="110" w:name="_Toc228622101"/>
      <w:bookmarkStart w:id="111" w:name="_Toc234580974"/>
      <w:r w:rsidRPr="00AE2A6A">
        <w:rPr>
          <w:rFonts w:asciiTheme="minorHAnsi" w:hAnsiTheme="minorHAnsi" w:cstheme="minorHAnsi"/>
          <w:color w:val="006197" w:themeColor="text1" w:themeShade="BF"/>
        </w:rPr>
        <w:t>Knowledge gaps and future research opportunities</w:t>
      </w:r>
      <w:bookmarkEnd w:id="110"/>
      <w:bookmarkEnd w:id="111"/>
    </w:p>
    <w:p w14:paraId="3665518A" w14:textId="77777777" w:rsidR="00B404D1" w:rsidRPr="00EB1D71" w:rsidRDefault="00B404D1" w:rsidP="00B404D1">
      <w:pPr>
        <w:rPr>
          <w:rFonts w:asciiTheme="minorHAnsi" w:hAnsiTheme="minorHAnsi" w:cstheme="minorHAnsi"/>
        </w:rPr>
      </w:pPr>
      <w:r w:rsidRPr="00EB1D71">
        <w:rPr>
          <w:rFonts w:asciiTheme="minorHAnsi" w:hAnsiTheme="minorHAnsi" w:cstheme="minorHAnsi"/>
        </w:rPr>
        <w:t xml:space="preserve">Several knowledge gaps were identified in the indicator selection process. </w:t>
      </w:r>
    </w:p>
    <w:p w14:paraId="67F5D99F" w14:textId="3A61F8F3" w:rsidR="00B404D1" w:rsidRPr="00EB1D71" w:rsidRDefault="00B404D1" w:rsidP="007E0F91">
      <w:pPr>
        <w:pStyle w:val="ListParagraph"/>
        <w:numPr>
          <w:ilvl w:val="0"/>
          <w:numId w:val="16"/>
        </w:numPr>
        <w:spacing w:after="0"/>
        <w:ind w:left="714" w:hanging="357"/>
        <w:rPr>
          <w:rFonts w:asciiTheme="minorHAnsi" w:hAnsiTheme="minorHAnsi" w:cstheme="minorHAnsi"/>
        </w:rPr>
      </w:pPr>
      <w:r w:rsidRPr="00EB1D71">
        <w:rPr>
          <w:rFonts w:asciiTheme="minorHAnsi" w:hAnsiTheme="minorHAnsi" w:cstheme="minorHAnsi"/>
        </w:rPr>
        <w:t xml:space="preserve">At the shortlisting stage through the Delphi process, answers from the expert consultation group contributed to overall understanding of the knowledge gaps associated with the longlisted indicators. Enzymes, Functional Genes, PLFA and Soil </w:t>
      </w:r>
      <w:proofErr w:type="spellStart"/>
      <w:r w:rsidRPr="00EB1D71">
        <w:rPr>
          <w:rFonts w:asciiTheme="minorHAnsi" w:hAnsiTheme="minorHAnsi" w:cstheme="minorHAnsi"/>
        </w:rPr>
        <w:t>Foodweb</w:t>
      </w:r>
      <w:proofErr w:type="spellEnd"/>
      <w:r w:rsidRPr="00EB1D71">
        <w:rPr>
          <w:rFonts w:asciiTheme="minorHAnsi" w:hAnsiTheme="minorHAnsi" w:cstheme="minorHAnsi"/>
        </w:rPr>
        <w:t xml:space="preserve"> had the highest number of “unknown” responses to the questions given in the initial survey (Appendix,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_Ref229662063 \h </w:instrText>
      </w:r>
      <w:r w:rsidR="00735BB6"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75504D" w:rsidRPr="0060067B">
        <w:rPr>
          <w:rStyle w:val="TableHyperlink"/>
          <w:rFonts w:asciiTheme="minorHAnsi" w:hAnsiTheme="minorHAnsi"/>
        </w:rPr>
        <w:t>Figure 14</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This limited the ranking that could be achieved by these indicators because it was not possible to attribute scores to unknowns.</w:t>
      </w:r>
    </w:p>
    <w:p w14:paraId="5DAA9555" w14:textId="77777777" w:rsidR="00B404D1" w:rsidRPr="00EB1D71" w:rsidRDefault="00B404D1" w:rsidP="007E0F91">
      <w:pPr>
        <w:pStyle w:val="ListParagraph"/>
        <w:numPr>
          <w:ilvl w:val="0"/>
          <w:numId w:val="16"/>
        </w:numPr>
        <w:spacing w:after="0"/>
        <w:ind w:left="714" w:hanging="357"/>
        <w:rPr>
          <w:rFonts w:asciiTheme="minorHAnsi" w:hAnsiTheme="minorHAnsi" w:cstheme="minorHAnsi"/>
        </w:rPr>
      </w:pPr>
      <w:r w:rsidRPr="00EB1D71">
        <w:rPr>
          <w:rFonts w:asciiTheme="minorHAnsi" w:hAnsiTheme="minorHAnsi" w:cstheme="minorHAnsi"/>
        </w:rPr>
        <w:t xml:space="preserve">Through project delivery, numerous datasets on PLFA were identified, thus there is potentially value in synthesising results from previous studies to identify key peaks which are particularly relevant to soil health in agricultural systems. </w:t>
      </w:r>
    </w:p>
    <w:p w14:paraId="742FBF48" w14:textId="4C295F9D" w:rsidR="00B404D1" w:rsidRPr="00EB1D71" w:rsidRDefault="00B404D1" w:rsidP="007E0F91">
      <w:pPr>
        <w:pStyle w:val="ListParagraph"/>
        <w:numPr>
          <w:ilvl w:val="0"/>
          <w:numId w:val="16"/>
        </w:numPr>
        <w:spacing w:after="0"/>
        <w:ind w:left="714" w:hanging="357"/>
        <w:rPr>
          <w:rFonts w:asciiTheme="minorHAnsi" w:hAnsiTheme="minorHAnsi" w:cstheme="minorHAnsi"/>
        </w:rPr>
      </w:pPr>
      <w:r w:rsidRPr="00EB1D71">
        <w:rPr>
          <w:rFonts w:asciiTheme="minorHAnsi" w:hAnsiTheme="minorHAnsi" w:cstheme="minorHAnsi"/>
        </w:rPr>
        <w:t>Enzyme activity assessment is not currently offered in the UK by any commercial laboratories, however the ISO has recently published a standardised method for assessing extracellular enzyme activity in soils (ISO 20130:2018) which covers several hydrolase activities (</w:t>
      </w:r>
      <w:proofErr w:type="spellStart"/>
      <w:r w:rsidRPr="00EB1D71">
        <w:rPr>
          <w:rFonts w:asciiTheme="minorHAnsi" w:hAnsiTheme="minorHAnsi" w:cstheme="minorHAnsi"/>
        </w:rPr>
        <w:t>arylamidase</w:t>
      </w:r>
      <w:proofErr w:type="spellEnd"/>
      <w:r w:rsidRPr="00EB1D71">
        <w:rPr>
          <w:rFonts w:asciiTheme="minorHAnsi" w:hAnsiTheme="minorHAnsi" w:cstheme="minorHAnsi"/>
        </w:rPr>
        <w:t>, arylsulfatase, β-galactosidase, α-glucosidase, β-glucosidase, N-acetyl-</w:t>
      </w:r>
      <w:proofErr w:type="spellStart"/>
      <w:r w:rsidRPr="00EB1D71">
        <w:rPr>
          <w:rFonts w:asciiTheme="minorHAnsi" w:hAnsiTheme="minorHAnsi" w:cstheme="minorHAnsi"/>
        </w:rPr>
        <w:t>glucosaminidase</w:t>
      </w:r>
      <w:proofErr w:type="spellEnd"/>
      <w:r w:rsidRPr="00EB1D71">
        <w:rPr>
          <w:rFonts w:asciiTheme="minorHAnsi" w:hAnsiTheme="minorHAnsi" w:cstheme="minorHAnsi"/>
        </w:rPr>
        <w:t xml:space="preserve">, acid, alkaline and global phosphatases, urease). This presents an opportunity for future work investigating the utility and feasibility of commercial testing. </w:t>
      </w:r>
    </w:p>
    <w:p w14:paraId="66CA3274" w14:textId="77777777" w:rsidR="00B404D1" w:rsidRPr="00EB1D71" w:rsidRDefault="00B404D1" w:rsidP="007E0F91">
      <w:pPr>
        <w:pStyle w:val="ListParagraph"/>
        <w:numPr>
          <w:ilvl w:val="0"/>
          <w:numId w:val="16"/>
        </w:numPr>
        <w:spacing w:after="0"/>
        <w:ind w:left="714" w:hanging="357"/>
        <w:rPr>
          <w:rFonts w:asciiTheme="minorHAnsi" w:hAnsiTheme="minorHAnsi" w:cstheme="minorHAnsi"/>
        </w:rPr>
      </w:pPr>
      <w:r w:rsidRPr="00EB1D71">
        <w:rPr>
          <w:rFonts w:asciiTheme="minorHAnsi" w:hAnsiTheme="minorHAnsi" w:cstheme="minorHAnsi"/>
        </w:rPr>
        <w:t>The existing SHSc indicator boundaries were first introduced eight years ago, and it is expected that updating the interpretation boundaries to incorporate texture, land use (grassland/arable) would require targeted data collection.</w:t>
      </w:r>
    </w:p>
    <w:p w14:paraId="75FE6B5F" w14:textId="27C6E879" w:rsidR="00B404D1" w:rsidRPr="00EB1D71" w:rsidRDefault="00B404D1" w:rsidP="007E0F91">
      <w:pPr>
        <w:pStyle w:val="ListParagraph"/>
        <w:numPr>
          <w:ilvl w:val="0"/>
          <w:numId w:val="16"/>
        </w:numPr>
        <w:spacing w:after="0"/>
        <w:ind w:left="714" w:hanging="357"/>
        <w:rPr>
          <w:rFonts w:asciiTheme="minorHAnsi" w:hAnsiTheme="minorHAnsi" w:cstheme="minorHAnsi"/>
        </w:rPr>
      </w:pPr>
      <w:r w:rsidRPr="00EB1D71">
        <w:rPr>
          <w:rFonts w:asciiTheme="minorHAnsi" w:hAnsiTheme="minorHAnsi" w:cstheme="minorHAnsi"/>
        </w:rPr>
        <w:t xml:space="preserve">The measurement of aggregate stability in the field via smartphone apps to facilitate slake testing presents a promising future avenue for soil structural testing. While there are already efforts underway to test and validate more novel, technology driven soil health testing (e.g. the Ai4SoilHealth project - </w:t>
      </w:r>
      <w:hyperlink r:id="rId49" w:history="1">
        <w:r w:rsidRPr="00EB1D71">
          <w:rPr>
            <w:rStyle w:val="Normal-hyperlink-boldChar"/>
            <w:rFonts w:asciiTheme="minorHAnsi" w:hAnsiTheme="minorHAnsi" w:cstheme="minorHAnsi"/>
          </w:rPr>
          <w:t>https://ai4soilhealth.eu/</w:t>
        </w:r>
      </w:hyperlink>
      <w:r w:rsidRPr="00EB1D71">
        <w:rPr>
          <w:rFonts w:asciiTheme="minorHAnsi" w:hAnsiTheme="minorHAnsi" w:cstheme="minorHAnsi"/>
        </w:rPr>
        <w:t xml:space="preserve">), there is currently a lack of testing on UK agricultural soils. Future work focussing on rolling out these assessments on UK agricultural soils to establish meaningful interpretations and ensure results validity would be a valuable contribution to this field. </w:t>
      </w:r>
    </w:p>
    <w:p w14:paraId="3C6A168B" w14:textId="14D1356A" w:rsidR="00B404D1" w:rsidRPr="00EB1D71" w:rsidRDefault="00B404D1" w:rsidP="007E0F91">
      <w:pPr>
        <w:pStyle w:val="ListParagraph"/>
        <w:numPr>
          <w:ilvl w:val="0"/>
          <w:numId w:val="16"/>
        </w:numPr>
        <w:spacing w:after="0"/>
        <w:ind w:left="714" w:hanging="357"/>
        <w:rPr>
          <w:rFonts w:asciiTheme="minorHAnsi" w:hAnsiTheme="minorHAnsi" w:cstheme="minorHAnsi"/>
        </w:rPr>
      </w:pPr>
      <w:r w:rsidRPr="00EB1D71">
        <w:rPr>
          <w:rFonts w:asciiTheme="minorHAnsi" w:hAnsiTheme="minorHAnsi" w:cstheme="minorHAnsi"/>
        </w:rPr>
        <w:t>Another area of soil health testing which was considered during project delivery was olfactory assessment, or “sniff testing” of soil to determine properties. At the stakeholder workshops, some farmers and advisors reported that they regularly sniffed their soils to determine overall health. More recent research has considered the utility of olfactory assessment to identify volatile compounds from soil, and this represents a potentially exciting future avenue for soil assessment with further development. Likewise, eco-acoustics is being developed for monitoring of some so</w:t>
      </w:r>
      <w:r w:rsidR="00EE2754" w:rsidRPr="00EB1D71">
        <w:rPr>
          <w:rFonts w:asciiTheme="minorHAnsi" w:hAnsiTheme="minorHAnsi" w:cstheme="minorHAnsi"/>
        </w:rPr>
        <w:t>i</w:t>
      </w:r>
      <w:r w:rsidRPr="00EB1D71">
        <w:rPr>
          <w:rFonts w:asciiTheme="minorHAnsi" w:hAnsiTheme="minorHAnsi" w:cstheme="minorHAnsi"/>
        </w:rPr>
        <w:t xml:space="preserve">l fauna (see </w:t>
      </w:r>
      <w:sdt>
        <w:sdtPr>
          <w:rPr>
            <w:rFonts w:asciiTheme="minorHAnsi" w:hAnsiTheme="minorHAnsi" w:cstheme="minorHAnsi"/>
            <w:color w:val="000000"/>
          </w:rPr>
          <w:tag w:val="MENDELEY_CITATION_v3_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"/>
          <w:id w:val="-1236000549"/>
          <w:placeholder>
            <w:docPart w:val="36CDF4594A4F4E4CA09FDE2593065298"/>
          </w:placeholder>
        </w:sdtPr>
        <w:sdtEndPr/>
        <w:sdtContent>
          <w:r w:rsidRPr="00EB1D71">
            <w:rPr>
              <w:rFonts w:asciiTheme="minorHAnsi" w:hAnsiTheme="minorHAnsi" w:cstheme="minorHAnsi"/>
              <w:color w:val="000000"/>
            </w:rPr>
            <w:t>Robinson et al.</w:t>
          </w:r>
        </w:sdtContent>
      </w:sdt>
      <w:r w:rsidRPr="00EB1D71">
        <w:rPr>
          <w:rFonts w:asciiTheme="minorHAnsi" w:hAnsiTheme="minorHAnsi" w:cstheme="minorHAnsi"/>
          <w:color w:val="000000"/>
        </w:rPr>
        <w:t xml:space="preserve"> 2024).</w:t>
      </w:r>
    </w:p>
    <w:p w14:paraId="4CEFB63A" w14:textId="5C51B850" w:rsidR="00B404D1" w:rsidRPr="00EB1D71" w:rsidRDefault="00B404D1" w:rsidP="007E0F91">
      <w:pPr>
        <w:pStyle w:val="ListParagraph"/>
        <w:numPr>
          <w:ilvl w:val="0"/>
          <w:numId w:val="16"/>
        </w:numPr>
        <w:spacing w:after="0"/>
        <w:ind w:left="714" w:hanging="357"/>
        <w:rPr>
          <w:rFonts w:asciiTheme="minorHAnsi" w:hAnsiTheme="minorHAnsi" w:cstheme="minorHAnsi"/>
        </w:rPr>
      </w:pPr>
      <w:r w:rsidRPr="00EB1D71">
        <w:rPr>
          <w:rFonts w:asciiTheme="minorHAnsi" w:hAnsiTheme="minorHAnsi" w:cstheme="minorHAnsi"/>
        </w:rPr>
        <w:lastRenderedPageBreak/>
        <w:t xml:space="preserve">It was not possible to conclusively state that POXC is a good measure of the active carbon pool in the soil. </w:t>
      </w:r>
      <w:r w:rsidR="009A568B" w:rsidRPr="00EB1D71">
        <w:rPr>
          <w:rStyle w:val="TableHyperlink"/>
          <w:rFonts w:asciiTheme="minorHAnsi" w:hAnsiTheme="minorHAnsi" w:cstheme="minorHAnsi"/>
        </w:rPr>
        <w:fldChar w:fldCharType="begin"/>
      </w:r>
      <w:r w:rsidR="009A568B" w:rsidRPr="00EB1D71">
        <w:rPr>
          <w:rStyle w:val="TableHyperlink"/>
          <w:rFonts w:asciiTheme="minorHAnsi" w:hAnsiTheme="minorHAnsi" w:cstheme="minorHAnsi"/>
        </w:rPr>
        <w:instrText xml:space="preserve"> REF _Ref229661503 \h </w:instrText>
      </w:r>
      <w:r w:rsidR="00E522A8" w:rsidRPr="00EB1D71">
        <w:rPr>
          <w:rStyle w:val="TableHyperlink"/>
          <w:rFonts w:asciiTheme="minorHAnsi" w:hAnsiTheme="minorHAnsi" w:cstheme="minorHAnsi"/>
        </w:rPr>
        <w:instrText xml:space="preserve"> \* MERGEFORMAT </w:instrText>
      </w:r>
      <w:r w:rsidR="009A568B" w:rsidRPr="00EB1D71">
        <w:rPr>
          <w:rStyle w:val="TableHyperlink"/>
          <w:rFonts w:asciiTheme="minorHAnsi" w:hAnsiTheme="minorHAnsi" w:cstheme="minorHAnsi"/>
        </w:rPr>
      </w:r>
      <w:r w:rsidR="009A568B" w:rsidRPr="00EB1D71">
        <w:rPr>
          <w:rStyle w:val="TableHyperlink"/>
          <w:rFonts w:asciiTheme="minorHAnsi" w:hAnsiTheme="minorHAnsi" w:cstheme="minorHAnsi"/>
        </w:rPr>
        <w:fldChar w:fldCharType="separate"/>
      </w:r>
      <w:r w:rsidR="009A568B" w:rsidRPr="00EB1D71">
        <w:rPr>
          <w:rStyle w:val="TableHyperlink"/>
          <w:rFonts w:asciiTheme="minorHAnsi" w:hAnsiTheme="minorHAnsi" w:cstheme="minorHAnsi"/>
        </w:rPr>
        <w:t>Figure 10</w:t>
      </w:r>
      <w:r w:rsidR="009A568B" w:rsidRPr="00EB1D71">
        <w:rPr>
          <w:rStyle w:val="TableHyperlink"/>
          <w:rFonts w:asciiTheme="minorHAnsi" w:hAnsiTheme="minorHAnsi" w:cstheme="minorHAnsi"/>
        </w:rPr>
        <w:fldChar w:fldCharType="end"/>
      </w:r>
      <w:r w:rsidRPr="00EB1D71">
        <w:rPr>
          <w:rFonts w:asciiTheme="minorHAnsi" w:hAnsiTheme="minorHAnsi" w:cstheme="minorHAnsi"/>
        </w:rPr>
        <w:t xml:space="preserve"> shows a strong correlation between POXC and soil organic matter/soil carbon. Further studies are required to evaluate if POXC provides an early indication of changes in soil organic carbon/matter. This would require measurement on an annual basis in trials where long-term changes in soil organic matter are expected (e.g. manure amendment trials, arable-ley rotations) or have been documented. There may also be potential to return to archived soil samples from long-term trials to investigate if POXC changes were present earlier than changes in soil organic matter/carbon. Sample archives such as those at Rothamsted Research may provide a valuable resource for this sort of study. </w:t>
      </w:r>
    </w:p>
    <w:p w14:paraId="39FB05F4" w14:textId="77777777" w:rsidR="00B404D1" w:rsidRPr="00EB1D71" w:rsidRDefault="00B404D1" w:rsidP="007E0F91">
      <w:pPr>
        <w:pStyle w:val="ListParagraph"/>
        <w:numPr>
          <w:ilvl w:val="0"/>
          <w:numId w:val="16"/>
        </w:numPr>
        <w:spacing w:after="0"/>
        <w:ind w:left="714" w:hanging="357"/>
        <w:rPr>
          <w:rFonts w:asciiTheme="minorHAnsi" w:hAnsiTheme="minorHAnsi" w:cstheme="minorHAnsi"/>
        </w:rPr>
      </w:pPr>
      <w:r w:rsidRPr="00EB1D71">
        <w:rPr>
          <w:rFonts w:asciiTheme="minorHAnsi" w:hAnsiTheme="minorHAnsi" w:cstheme="minorHAnsi"/>
        </w:rPr>
        <w:t>While a decision was made not to pursue development of an improved interpretation framework for earthworms within this project, the searches of open-access data repositories returned 13 datasets with potential for mining to refine the existing SHSc advice on earthworms. There is potential to delve into this data and improve the traffic light system for earthworms, especially because some of these datasets include reference to useful explanatory variables, e.g. soil texture.</w:t>
      </w:r>
    </w:p>
    <w:p w14:paraId="70FFBF7E" w14:textId="6A5D048E" w:rsidR="00B404D1" w:rsidRPr="00EB1D71" w:rsidRDefault="00B404D1" w:rsidP="007E0F91">
      <w:pPr>
        <w:pStyle w:val="ListParagraph"/>
        <w:numPr>
          <w:ilvl w:val="0"/>
          <w:numId w:val="16"/>
        </w:numPr>
        <w:spacing w:after="0"/>
        <w:ind w:left="714" w:hanging="357"/>
        <w:rPr>
          <w:rFonts w:asciiTheme="minorHAnsi" w:hAnsiTheme="minorHAnsi" w:cstheme="minorHAnsi"/>
        </w:rPr>
      </w:pPr>
      <w:r w:rsidRPr="00EB1D71">
        <w:rPr>
          <w:rFonts w:asciiTheme="minorHAnsi" w:hAnsiTheme="minorHAnsi" w:cstheme="minorHAnsi"/>
        </w:rPr>
        <w:t xml:space="preserve">Overall, there is a tendency for soil health research to focus on a familiar subset of indicators which are already well used and understood academically. While this is understandable, our results showed the importance of conducting research on indicators which are less well established in the literature to ensure that their potential utility as </w:t>
      </w:r>
      <w:r w:rsidR="00197F23">
        <w:rPr>
          <w:rFonts w:asciiTheme="minorHAnsi" w:hAnsiTheme="minorHAnsi" w:cstheme="minorHAnsi"/>
        </w:rPr>
        <w:t xml:space="preserve">soil </w:t>
      </w:r>
      <w:r w:rsidRPr="00EB1D71">
        <w:rPr>
          <w:rFonts w:asciiTheme="minorHAnsi" w:hAnsiTheme="minorHAnsi" w:cstheme="minorHAnsi"/>
        </w:rPr>
        <w:t>health metrics is not overlooked.</w:t>
      </w:r>
    </w:p>
    <w:p w14:paraId="5AA2533E" w14:textId="75846434" w:rsidR="00B404D1" w:rsidRPr="00EB1D71" w:rsidRDefault="00B404D1" w:rsidP="00B404D1">
      <w:pPr>
        <w:spacing w:line="278" w:lineRule="auto"/>
        <w:rPr>
          <w:rFonts w:asciiTheme="minorHAnsi" w:hAnsiTheme="minorHAnsi" w:cstheme="minorHAnsi"/>
        </w:rPr>
      </w:pPr>
      <w:r w:rsidRPr="00EB1D71">
        <w:rPr>
          <w:rFonts w:asciiTheme="minorHAnsi" w:hAnsiTheme="minorHAnsi" w:cstheme="minorHAnsi"/>
        </w:rPr>
        <w:br w:type="page"/>
      </w:r>
    </w:p>
    <w:p w14:paraId="7D330522" w14:textId="77777777" w:rsidR="00B404D1" w:rsidRPr="00EB1D71" w:rsidRDefault="00B404D1" w:rsidP="00B404D1">
      <w:pPr>
        <w:pStyle w:val="Heading2"/>
        <w:rPr>
          <w:rFonts w:asciiTheme="minorHAnsi" w:hAnsiTheme="minorHAnsi" w:cstheme="minorHAnsi"/>
        </w:rPr>
      </w:pPr>
      <w:bookmarkStart w:id="112" w:name="_Toc228622102"/>
      <w:bookmarkStart w:id="113" w:name="_Toc234580975"/>
      <w:r w:rsidRPr="00EB1D71">
        <w:rPr>
          <w:rFonts w:asciiTheme="minorHAnsi" w:hAnsiTheme="minorHAnsi" w:cstheme="minorHAnsi"/>
        </w:rPr>
        <w:lastRenderedPageBreak/>
        <w:t>References</w:t>
      </w:r>
      <w:bookmarkEnd w:id="112"/>
      <w:bookmarkEnd w:id="113"/>
    </w:p>
    <w:sdt>
      <w:sdtPr>
        <w:rPr>
          <w:rFonts w:asciiTheme="minorHAnsi" w:hAnsiTheme="minorHAnsi"/>
          <w:color w:val="000000"/>
        </w:rPr>
        <w:tag w:val="MENDELEY_BIBLIOGRAPHY"/>
        <w:id w:val="-2007968800"/>
        <w:placeholder>
          <w:docPart w:val="93F1DAB9ACD1470DA5B81A80245EA883"/>
        </w:placeholder>
      </w:sdtPr>
      <w:sdtEndPr/>
      <w:sdtContent>
        <w:p w14:paraId="2958F086"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proofErr w:type="spellStart"/>
          <w:r w:rsidRPr="00EB1D71">
            <w:rPr>
              <w:rFonts w:asciiTheme="minorHAnsi" w:eastAsia="Times New Roman" w:hAnsiTheme="minorHAnsi" w:cstheme="minorHAnsi"/>
              <w:color w:val="000000"/>
            </w:rPr>
            <w:t>Adetsu</w:t>
          </w:r>
          <w:proofErr w:type="spellEnd"/>
          <w:r w:rsidRPr="00EB1D71">
            <w:rPr>
              <w:rFonts w:asciiTheme="minorHAnsi" w:eastAsia="Times New Roman" w:hAnsiTheme="minorHAnsi" w:cstheme="minorHAnsi"/>
              <w:color w:val="000000"/>
            </w:rPr>
            <w:t xml:space="preserve">, D. V., Arthur, E., Fu, Y., Cornelis, W., &amp; Lamandé, M. (2024). Exploratory assessment of the SLAKES method to characterize aggregate stability across diverse soil types. </w:t>
          </w:r>
          <w:r w:rsidRPr="00EB1D71">
            <w:rPr>
              <w:rFonts w:asciiTheme="minorHAnsi" w:eastAsia="Times New Roman" w:hAnsiTheme="minorHAnsi" w:cstheme="minorHAnsi"/>
              <w:i/>
              <w:iCs/>
              <w:color w:val="000000"/>
            </w:rPr>
            <w:t>Soil Science Society of America Journal</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88</w:t>
          </w:r>
          <w:r w:rsidRPr="00EB1D71">
            <w:rPr>
              <w:rFonts w:asciiTheme="minorHAnsi" w:eastAsia="Times New Roman" w:hAnsiTheme="minorHAnsi" w:cstheme="minorHAnsi"/>
              <w:color w:val="000000"/>
            </w:rPr>
            <w:t>(4), 1086–1099. https://doi.org/10.1002/saj2.20674</w:t>
          </w:r>
        </w:p>
        <w:p w14:paraId="5410123B"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AHDB. (2022). </w:t>
          </w:r>
          <w:r w:rsidRPr="00EB1D71">
            <w:rPr>
              <w:rFonts w:asciiTheme="minorHAnsi" w:eastAsia="Times New Roman" w:hAnsiTheme="minorHAnsi" w:cstheme="minorHAnsi"/>
              <w:i/>
              <w:iCs/>
              <w:color w:val="000000"/>
            </w:rPr>
            <w:t>Soil Health scorecard approach Sampling protocol and benchmarking tables England and Wales</w:t>
          </w:r>
          <w:r w:rsidRPr="00EB1D71">
            <w:rPr>
              <w:rFonts w:asciiTheme="minorHAnsi" w:eastAsia="Times New Roman" w:hAnsiTheme="minorHAnsi" w:cstheme="minorHAnsi"/>
              <w:color w:val="000000"/>
            </w:rPr>
            <w:t>.</w:t>
          </w:r>
        </w:p>
        <w:p w14:paraId="07983B34"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Anon. (n.d.). </w:t>
          </w:r>
          <w:r w:rsidRPr="00EB1D71">
            <w:rPr>
              <w:rFonts w:asciiTheme="minorHAnsi" w:eastAsia="Times New Roman" w:hAnsiTheme="minorHAnsi" w:cstheme="minorHAnsi"/>
              <w:i/>
              <w:iCs/>
              <w:color w:val="000000"/>
            </w:rPr>
            <w:t xml:space="preserve">Root Rangers Cereal </w:t>
          </w:r>
          <w:proofErr w:type="spellStart"/>
          <w:r w:rsidRPr="00EB1D71">
            <w:rPr>
              <w:rFonts w:asciiTheme="minorHAnsi" w:eastAsia="Times New Roman" w:hAnsiTheme="minorHAnsi" w:cstheme="minorHAnsi"/>
              <w:i/>
              <w:iCs/>
              <w:color w:val="000000"/>
            </w:rPr>
            <w:t>Shovelomics</w:t>
          </w:r>
          <w:proofErr w:type="spellEnd"/>
          <w:r w:rsidRPr="00EB1D71">
            <w:rPr>
              <w:rFonts w:asciiTheme="minorHAnsi" w:eastAsia="Times New Roman" w:hAnsiTheme="minorHAnsi" w:cstheme="minorHAnsi"/>
              <w:i/>
              <w:iCs/>
              <w:color w:val="000000"/>
            </w:rPr>
            <w:t xml:space="preserve"> Protocol</w:t>
          </w:r>
          <w:r w:rsidRPr="00EB1D71">
            <w:rPr>
              <w:rFonts w:asciiTheme="minorHAnsi" w:eastAsia="Times New Roman" w:hAnsiTheme="minorHAnsi" w:cstheme="minorHAnsi"/>
              <w:color w:val="000000"/>
            </w:rPr>
            <w:t>. Thriving Roots Underpinning Total soil Health (TRUTH).</w:t>
          </w:r>
        </w:p>
        <w:p w14:paraId="7623DE3A"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D943D4">
            <w:rPr>
              <w:rFonts w:asciiTheme="minorHAnsi" w:eastAsia="Times New Roman" w:hAnsiTheme="minorHAnsi" w:cstheme="minorHAnsi"/>
              <w:color w:val="000000"/>
              <w:lang w:val="pt-BR"/>
            </w:rPr>
            <w:t xml:space="preserve">Bastida, F., Moreno, J. L., Hernandez, T., &amp; Garcia, C. (2006). </w:t>
          </w:r>
          <w:r w:rsidRPr="00EB1D71">
            <w:rPr>
              <w:rFonts w:asciiTheme="minorHAnsi" w:eastAsia="Times New Roman" w:hAnsiTheme="minorHAnsi" w:cstheme="minorHAnsi"/>
              <w:color w:val="000000"/>
            </w:rPr>
            <w:t xml:space="preserve">Microbiological degradation index of soils in a semiarid climate. </w:t>
          </w:r>
          <w:r w:rsidRPr="00EB1D71">
            <w:rPr>
              <w:rFonts w:asciiTheme="minorHAnsi" w:eastAsia="Times New Roman" w:hAnsiTheme="minorHAnsi" w:cstheme="minorHAnsi"/>
              <w:i/>
              <w:iCs/>
              <w:color w:val="000000"/>
            </w:rPr>
            <w:t>Soil Biology and Biochemistry</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38</w:t>
          </w:r>
          <w:r w:rsidRPr="00EB1D71">
            <w:rPr>
              <w:rFonts w:asciiTheme="minorHAnsi" w:eastAsia="Times New Roman" w:hAnsiTheme="minorHAnsi" w:cstheme="minorHAnsi"/>
              <w:color w:val="000000"/>
            </w:rPr>
            <w:t>(12), 3463–3473.</w:t>
          </w:r>
        </w:p>
        <w:p w14:paraId="59115AF1"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Bastida, F., Zsolnay, T., Hernandez, T., &amp; Garcia, C. (2008). Past, present and future of soil quality indices: A biological perspective. </w:t>
          </w:r>
          <w:proofErr w:type="spellStart"/>
          <w:r w:rsidRPr="00EB1D71">
            <w:rPr>
              <w:rFonts w:asciiTheme="minorHAnsi" w:eastAsia="Times New Roman" w:hAnsiTheme="minorHAnsi" w:cstheme="minorHAnsi"/>
              <w:i/>
              <w:iCs/>
              <w:color w:val="000000"/>
            </w:rPr>
            <w:t>Geoderma</w:t>
          </w:r>
          <w:proofErr w:type="spellEnd"/>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147</w:t>
          </w:r>
          <w:r w:rsidRPr="00EB1D71">
            <w:rPr>
              <w:rFonts w:asciiTheme="minorHAnsi" w:eastAsia="Times New Roman" w:hAnsiTheme="minorHAnsi" w:cstheme="minorHAnsi"/>
              <w:color w:val="000000"/>
            </w:rPr>
            <w:t>(3–3), 159–171.</w:t>
          </w:r>
        </w:p>
        <w:p w14:paraId="09DAC3C5"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Bhogal, A., Blake-</w:t>
          </w:r>
          <w:proofErr w:type="spellStart"/>
          <w:r w:rsidRPr="00EB1D71">
            <w:rPr>
              <w:rFonts w:asciiTheme="minorHAnsi" w:eastAsia="Times New Roman" w:hAnsiTheme="minorHAnsi" w:cstheme="minorHAnsi"/>
              <w:color w:val="000000"/>
            </w:rPr>
            <w:t>Kalff</w:t>
          </w:r>
          <w:proofErr w:type="spellEnd"/>
          <w:r w:rsidRPr="00EB1D71">
            <w:rPr>
              <w:rFonts w:asciiTheme="minorHAnsi" w:eastAsia="Times New Roman" w:hAnsiTheme="minorHAnsi" w:cstheme="minorHAnsi"/>
              <w:color w:val="000000"/>
            </w:rPr>
            <w:t xml:space="preserve">, M., Rose, D., Pitcher, S., Watson, C., &amp; Stockdale, E. (2020). </w:t>
          </w:r>
          <w:r w:rsidRPr="00EB1D71">
            <w:rPr>
              <w:rFonts w:asciiTheme="minorHAnsi" w:eastAsia="Times New Roman" w:hAnsiTheme="minorHAnsi" w:cstheme="minorHAnsi"/>
              <w:i/>
              <w:iCs/>
              <w:color w:val="000000"/>
            </w:rPr>
            <w:t>Soil Biology and Soil Health Partnership Project 11: Developing UK-relevant benchmarks for the soil health indicators: Potentially Mineralisable Nitrogen and Solvita respiration burst</w:t>
          </w:r>
          <w:r w:rsidRPr="00EB1D71">
            <w:rPr>
              <w:rFonts w:asciiTheme="minorHAnsi" w:eastAsia="Times New Roman" w:hAnsiTheme="minorHAnsi" w:cstheme="minorHAnsi"/>
              <w:color w:val="000000"/>
            </w:rPr>
            <w:t>.</w:t>
          </w:r>
        </w:p>
        <w:p w14:paraId="2895057B"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Black, H. I. </w:t>
          </w:r>
          <w:proofErr w:type="gramStart"/>
          <w:r w:rsidRPr="00EB1D71">
            <w:rPr>
              <w:rFonts w:asciiTheme="minorHAnsi" w:eastAsia="Times New Roman" w:hAnsiTheme="minorHAnsi" w:cstheme="minorHAnsi"/>
              <w:color w:val="000000"/>
            </w:rPr>
            <w:t>J. ;</w:t>
          </w:r>
          <w:proofErr w:type="gramEnd"/>
          <w:r w:rsidRPr="00EB1D71">
            <w:rPr>
              <w:rFonts w:asciiTheme="minorHAnsi" w:eastAsia="Times New Roman" w:hAnsiTheme="minorHAnsi" w:cstheme="minorHAnsi"/>
              <w:color w:val="000000"/>
            </w:rPr>
            <w:t xml:space="preserve">, Ritz, </w:t>
          </w:r>
          <w:proofErr w:type="gramStart"/>
          <w:r w:rsidRPr="00EB1D71">
            <w:rPr>
              <w:rFonts w:asciiTheme="minorHAnsi" w:eastAsia="Times New Roman" w:hAnsiTheme="minorHAnsi" w:cstheme="minorHAnsi"/>
              <w:color w:val="000000"/>
            </w:rPr>
            <w:t>K. ;</w:t>
          </w:r>
          <w:proofErr w:type="gramEnd"/>
          <w:r w:rsidRPr="00EB1D71">
            <w:rPr>
              <w:rFonts w:asciiTheme="minorHAnsi" w:eastAsia="Times New Roman" w:hAnsiTheme="minorHAnsi" w:cstheme="minorHAnsi"/>
              <w:color w:val="000000"/>
            </w:rPr>
            <w:t xml:space="preserve">, Campbell, C. </w:t>
          </w:r>
          <w:proofErr w:type="gramStart"/>
          <w:r w:rsidRPr="00EB1D71">
            <w:rPr>
              <w:rFonts w:asciiTheme="minorHAnsi" w:eastAsia="Times New Roman" w:hAnsiTheme="minorHAnsi" w:cstheme="minorHAnsi"/>
              <w:color w:val="000000"/>
            </w:rPr>
            <w:t>D. ;</w:t>
          </w:r>
          <w:proofErr w:type="gramEnd"/>
          <w:r w:rsidRPr="00EB1D71">
            <w:rPr>
              <w:rFonts w:asciiTheme="minorHAnsi" w:eastAsia="Times New Roman" w:hAnsiTheme="minorHAnsi" w:cstheme="minorHAnsi"/>
              <w:color w:val="000000"/>
            </w:rPr>
            <w:t xml:space="preserve">, Black, H. I. J., Ritz, K., Campbell, C. D., Harris, J. A., Wood, C., Chamberlain, P. M., Parekh, N., Towers, W., &amp; Scott, A. (2008). </w:t>
          </w:r>
          <w:r w:rsidRPr="00EB1D71">
            <w:rPr>
              <w:rFonts w:asciiTheme="minorHAnsi" w:eastAsia="Times New Roman" w:hAnsiTheme="minorHAnsi" w:cstheme="minorHAnsi"/>
              <w:i/>
              <w:iCs/>
              <w:color w:val="000000"/>
            </w:rPr>
            <w:t>SQID: Prioritising biological indicators of soil quality for deployment in a national-scale soil monitoring scheme Summary report</w:t>
          </w:r>
          <w:r w:rsidRPr="00EB1D71">
            <w:rPr>
              <w:rFonts w:asciiTheme="minorHAnsi" w:eastAsia="Times New Roman" w:hAnsiTheme="minorHAnsi" w:cstheme="minorHAnsi"/>
              <w:color w:val="000000"/>
            </w:rPr>
            <w:t>. http://nora.nerc.ac.uk/policies.html#access</w:t>
          </w:r>
        </w:p>
        <w:p w14:paraId="77FFF9E6"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Bonde, T. A., </w:t>
          </w:r>
          <w:proofErr w:type="spellStart"/>
          <w:r w:rsidRPr="00EB1D71">
            <w:rPr>
              <w:rFonts w:asciiTheme="minorHAnsi" w:eastAsia="Times New Roman" w:hAnsiTheme="minorHAnsi" w:cstheme="minorHAnsi"/>
              <w:color w:val="000000"/>
            </w:rPr>
            <w:t>Schnürer</w:t>
          </w:r>
          <w:proofErr w:type="spellEnd"/>
          <w:r w:rsidRPr="00EB1D71">
            <w:rPr>
              <w:rFonts w:asciiTheme="minorHAnsi" w:eastAsia="Times New Roman" w:hAnsiTheme="minorHAnsi" w:cstheme="minorHAnsi"/>
              <w:color w:val="000000"/>
            </w:rPr>
            <w:t xml:space="preserve">, J., &amp; </w:t>
          </w:r>
          <w:proofErr w:type="spellStart"/>
          <w:r w:rsidRPr="00EB1D71">
            <w:rPr>
              <w:rFonts w:asciiTheme="minorHAnsi" w:eastAsia="Times New Roman" w:hAnsiTheme="minorHAnsi" w:cstheme="minorHAnsi"/>
              <w:color w:val="000000"/>
            </w:rPr>
            <w:t>Rosswall</w:t>
          </w:r>
          <w:proofErr w:type="spellEnd"/>
          <w:r w:rsidRPr="00EB1D71">
            <w:rPr>
              <w:rFonts w:asciiTheme="minorHAnsi" w:eastAsia="Times New Roman" w:hAnsiTheme="minorHAnsi" w:cstheme="minorHAnsi"/>
              <w:color w:val="000000"/>
            </w:rPr>
            <w:t xml:space="preserve">, T. (1988). Microbial biomass as a fraction of potentially mineralizable nitrogen in soils from long-term field experiments. </w:t>
          </w:r>
          <w:r w:rsidRPr="00EB1D71">
            <w:rPr>
              <w:rFonts w:asciiTheme="minorHAnsi" w:eastAsia="Times New Roman" w:hAnsiTheme="minorHAnsi" w:cstheme="minorHAnsi"/>
              <w:i/>
              <w:iCs/>
              <w:color w:val="000000"/>
            </w:rPr>
            <w:t>Soil Biology and Biochemistry</w:t>
          </w:r>
          <w:r w:rsidRPr="00EB1D71">
            <w:rPr>
              <w:rFonts w:asciiTheme="minorHAnsi" w:eastAsia="Times New Roman" w:hAnsiTheme="minorHAnsi" w:cstheme="minorHAnsi"/>
              <w:color w:val="000000"/>
            </w:rPr>
            <w:t>, 447–452.</w:t>
          </w:r>
        </w:p>
        <w:p w14:paraId="3222F1EE"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Bünemann, E. K., Bongiorno, G., Bai, Z., Creamer, R. E., De Deyn, G., de Goede, R., </w:t>
          </w:r>
          <w:proofErr w:type="spellStart"/>
          <w:r w:rsidRPr="00EB1D71">
            <w:rPr>
              <w:rFonts w:asciiTheme="minorHAnsi" w:eastAsia="Times New Roman" w:hAnsiTheme="minorHAnsi" w:cstheme="minorHAnsi"/>
              <w:color w:val="000000"/>
            </w:rPr>
            <w:t>Fleskens</w:t>
          </w:r>
          <w:proofErr w:type="spellEnd"/>
          <w:r w:rsidRPr="00EB1D71">
            <w:rPr>
              <w:rFonts w:asciiTheme="minorHAnsi" w:eastAsia="Times New Roman" w:hAnsiTheme="minorHAnsi" w:cstheme="minorHAnsi"/>
              <w:color w:val="000000"/>
            </w:rPr>
            <w:t xml:space="preserve">, L., </w:t>
          </w:r>
          <w:proofErr w:type="spellStart"/>
          <w:r w:rsidRPr="00EB1D71">
            <w:rPr>
              <w:rFonts w:asciiTheme="minorHAnsi" w:eastAsia="Times New Roman" w:hAnsiTheme="minorHAnsi" w:cstheme="minorHAnsi"/>
              <w:color w:val="000000"/>
            </w:rPr>
            <w:t>Geissen</w:t>
          </w:r>
          <w:proofErr w:type="spellEnd"/>
          <w:r w:rsidRPr="00EB1D71">
            <w:rPr>
              <w:rFonts w:asciiTheme="minorHAnsi" w:eastAsia="Times New Roman" w:hAnsiTheme="minorHAnsi" w:cstheme="minorHAnsi"/>
              <w:color w:val="000000"/>
            </w:rPr>
            <w:t xml:space="preserve">, V., Kuyper, T. W., </w:t>
          </w:r>
          <w:proofErr w:type="spellStart"/>
          <w:r w:rsidRPr="00EB1D71">
            <w:rPr>
              <w:rFonts w:asciiTheme="minorHAnsi" w:eastAsia="Times New Roman" w:hAnsiTheme="minorHAnsi" w:cstheme="minorHAnsi"/>
              <w:color w:val="000000"/>
            </w:rPr>
            <w:t>Mäder</w:t>
          </w:r>
          <w:proofErr w:type="spellEnd"/>
          <w:r w:rsidRPr="00EB1D71">
            <w:rPr>
              <w:rFonts w:asciiTheme="minorHAnsi" w:eastAsia="Times New Roman" w:hAnsiTheme="minorHAnsi" w:cstheme="minorHAnsi"/>
              <w:color w:val="000000"/>
            </w:rPr>
            <w:t xml:space="preserve">, P., </w:t>
          </w:r>
          <w:proofErr w:type="spellStart"/>
          <w:r w:rsidRPr="00EB1D71">
            <w:rPr>
              <w:rFonts w:asciiTheme="minorHAnsi" w:eastAsia="Times New Roman" w:hAnsiTheme="minorHAnsi" w:cstheme="minorHAnsi"/>
              <w:color w:val="000000"/>
            </w:rPr>
            <w:t>Pulleman</w:t>
          </w:r>
          <w:proofErr w:type="spellEnd"/>
          <w:r w:rsidRPr="00EB1D71">
            <w:rPr>
              <w:rFonts w:asciiTheme="minorHAnsi" w:eastAsia="Times New Roman" w:hAnsiTheme="minorHAnsi" w:cstheme="minorHAnsi"/>
              <w:color w:val="000000"/>
            </w:rPr>
            <w:t xml:space="preserve">, M., </w:t>
          </w:r>
          <w:proofErr w:type="spellStart"/>
          <w:r w:rsidRPr="00EB1D71">
            <w:rPr>
              <w:rFonts w:asciiTheme="minorHAnsi" w:eastAsia="Times New Roman" w:hAnsiTheme="minorHAnsi" w:cstheme="minorHAnsi"/>
              <w:color w:val="000000"/>
            </w:rPr>
            <w:t>Sukkel</w:t>
          </w:r>
          <w:proofErr w:type="spellEnd"/>
          <w:r w:rsidRPr="00EB1D71">
            <w:rPr>
              <w:rFonts w:asciiTheme="minorHAnsi" w:eastAsia="Times New Roman" w:hAnsiTheme="minorHAnsi" w:cstheme="minorHAnsi"/>
              <w:color w:val="000000"/>
            </w:rPr>
            <w:t xml:space="preserve">, W., van </w:t>
          </w:r>
          <w:proofErr w:type="spellStart"/>
          <w:r w:rsidRPr="00EB1D71">
            <w:rPr>
              <w:rFonts w:asciiTheme="minorHAnsi" w:eastAsia="Times New Roman" w:hAnsiTheme="minorHAnsi" w:cstheme="minorHAnsi"/>
              <w:color w:val="000000"/>
            </w:rPr>
            <w:t>Groenigen</w:t>
          </w:r>
          <w:proofErr w:type="spellEnd"/>
          <w:r w:rsidRPr="00EB1D71">
            <w:rPr>
              <w:rFonts w:asciiTheme="minorHAnsi" w:eastAsia="Times New Roman" w:hAnsiTheme="minorHAnsi" w:cstheme="minorHAnsi"/>
              <w:color w:val="000000"/>
            </w:rPr>
            <w:t xml:space="preserve">, J. W., &amp; </w:t>
          </w:r>
          <w:proofErr w:type="spellStart"/>
          <w:r w:rsidRPr="00EB1D71">
            <w:rPr>
              <w:rFonts w:asciiTheme="minorHAnsi" w:eastAsia="Times New Roman" w:hAnsiTheme="minorHAnsi" w:cstheme="minorHAnsi"/>
              <w:color w:val="000000"/>
            </w:rPr>
            <w:t>Brussaard</w:t>
          </w:r>
          <w:proofErr w:type="spellEnd"/>
          <w:r w:rsidRPr="00EB1D71">
            <w:rPr>
              <w:rFonts w:asciiTheme="minorHAnsi" w:eastAsia="Times New Roman" w:hAnsiTheme="minorHAnsi" w:cstheme="minorHAnsi"/>
              <w:color w:val="000000"/>
            </w:rPr>
            <w:t xml:space="preserve">, L. (2018). Soil quality – A critical review. In </w:t>
          </w:r>
          <w:r w:rsidRPr="00EB1D71">
            <w:rPr>
              <w:rFonts w:asciiTheme="minorHAnsi" w:eastAsia="Times New Roman" w:hAnsiTheme="minorHAnsi" w:cstheme="minorHAnsi"/>
              <w:i/>
              <w:iCs/>
              <w:color w:val="000000"/>
            </w:rPr>
            <w:t>Soil Biology and Biochemistry</w:t>
          </w:r>
          <w:r w:rsidRPr="00EB1D71">
            <w:rPr>
              <w:rFonts w:asciiTheme="minorHAnsi" w:eastAsia="Times New Roman" w:hAnsiTheme="minorHAnsi" w:cstheme="minorHAnsi"/>
              <w:color w:val="000000"/>
            </w:rPr>
            <w:t xml:space="preserve"> (Vol. 120, pp. 105–125). Elsevier Ltd. https://doi.org/10.1016/j.soilbio.2018.01.030</w:t>
          </w:r>
        </w:p>
        <w:p w14:paraId="01A7F73B"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proofErr w:type="spellStart"/>
          <w:r w:rsidRPr="00EB1D71">
            <w:rPr>
              <w:rFonts w:asciiTheme="minorHAnsi" w:eastAsia="Times New Roman" w:hAnsiTheme="minorHAnsi" w:cstheme="minorHAnsi"/>
              <w:color w:val="000000"/>
            </w:rPr>
            <w:t>Chéron-Bessou</w:t>
          </w:r>
          <w:proofErr w:type="spellEnd"/>
          <w:r w:rsidRPr="00EB1D71">
            <w:rPr>
              <w:rFonts w:asciiTheme="minorHAnsi" w:eastAsia="Times New Roman" w:hAnsiTheme="minorHAnsi" w:cstheme="minorHAnsi"/>
              <w:color w:val="000000"/>
            </w:rPr>
            <w:t xml:space="preserve">, C., </w:t>
          </w:r>
          <w:proofErr w:type="spellStart"/>
          <w:r w:rsidRPr="00EB1D71">
            <w:rPr>
              <w:rFonts w:asciiTheme="minorHAnsi" w:eastAsia="Times New Roman" w:hAnsiTheme="minorHAnsi" w:cstheme="minorHAnsi"/>
              <w:color w:val="000000"/>
            </w:rPr>
            <w:t>Beillouin</w:t>
          </w:r>
          <w:proofErr w:type="spellEnd"/>
          <w:r w:rsidRPr="00EB1D71">
            <w:rPr>
              <w:rFonts w:asciiTheme="minorHAnsi" w:eastAsia="Times New Roman" w:hAnsiTheme="minorHAnsi" w:cstheme="minorHAnsi"/>
              <w:color w:val="000000"/>
            </w:rPr>
            <w:t xml:space="preserve">, D., </w:t>
          </w:r>
          <w:proofErr w:type="spellStart"/>
          <w:r w:rsidRPr="00EB1D71">
            <w:rPr>
              <w:rFonts w:asciiTheme="minorHAnsi" w:eastAsia="Times New Roman" w:hAnsiTheme="minorHAnsi" w:cstheme="minorHAnsi"/>
              <w:color w:val="000000"/>
            </w:rPr>
            <w:t>Thoumazeau</w:t>
          </w:r>
          <w:proofErr w:type="spellEnd"/>
          <w:r w:rsidRPr="00EB1D71">
            <w:rPr>
              <w:rFonts w:asciiTheme="minorHAnsi" w:eastAsia="Times New Roman" w:hAnsiTheme="minorHAnsi" w:cstheme="minorHAnsi"/>
              <w:color w:val="000000"/>
            </w:rPr>
            <w:t xml:space="preserve">, A., Chapuis-Lardy, L., Chevallier, T., </w:t>
          </w:r>
          <w:proofErr w:type="spellStart"/>
          <w:r w:rsidRPr="00EB1D71">
            <w:rPr>
              <w:rFonts w:asciiTheme="minorHAnsi" w:eastAsia="Times New Roman" w:hAnsiTheme="minorHAnsi" w:cstheme="minorHAnsi"/>
              <w:color w:val="000000"/>
            </w:rPr>
            <w:t>Demenois</w:t>
          </w:r>
          <w:proofErr w:type="spellEnd"/>
          <w:r w:rsidRPr="00EB1D71">
            <w:rPr>
              <w:rFonts w:asciiTheme="minorHAnsi" w:eastAsia="Times New Roman" w:hAnsiTheme="minorHAnsi" w:cstheme="minorHAnsi"/>
              <w:color w:val="000000"/>
            </w:rPr>
            <w:t xml:space="preserve">, J., &amp; Nelson, P. N. (2025). A global database on land use and management change effects on soil KMnO4-oxidisable organic carbon (POXC). </w:t>
          </w:r>
          <w:r w:rsidRPr="00EB1D71">
            <w:rPr>
              <w:rFonts w:asciiTheme="minorHAnsi" w:eastAsia="Times New Roman" w:hAnsiTheme="minorHAnsi" w:cstheme="minorHAnsi"/>
              <w:i/>
              <w:iCs/>
              <w:color w:val="000000"/>
            </w:rPr>
            <w:t xml:space="preserve">Scientific </w:t>
          </w:r>
          <w:proofErr w:type="gramStart"/>
          <w:r w:rsidRPr="00EB1D71">
            <w:rPr>
              <w:rFonts w:asciiTheme="minorHAnsi" w:eastAsia="Times New Roman" w:hAnsiTheme="minorHAnsi" w:cstheme="minorHAnsi"/>
              <w:i/>
              <w:iCs/>
              <w:color w:val="000000"/>
            </w:rPr>
            <w:t xml:space="preserve">Data </w:t>
          </w:r>
          <w:r w:rsidRPr="00EB1D71">
            <w:rPr>
              <w:rFonts w:asciiTheme="minorHAnsi" w:eastAsia="Times New Roman" w:hAnsiTheme="minorHAnsi" w:cstheme="minorHAnsi"/>
              <w:color w:val="000000"/>
            </w:rPr>
            <w:t>,</w:t>
          </w:r>
          <w:proofErr w:type="gramEnd"/>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12</w:t>
          </w:r>
          <w:r w:rsidRPr="00EB1D71">
            <w:rPr>
              <w:rFonts w:asciiTheme="minorHAnsi" w:eastAsia="Times New Roman" w:hAnsiTheme="minorHAnsi" w:cstheme="minorHAnsi"/>
              <w:color w:val="000000"/>
            </w:rPr>
            <w:t>(1). https://doi.org/10.1038/s41597-025-05976-9</w:t>
          </w:r>
        </w:p>
        <w:p w14:paraId="23C435A7"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proofErr w:type="spellStart"/>
          <w:r w:rsidRPr="00EB1D71">
            <w:rPr>
              <w:rFonts w:asciiTheme="minorHAnsi" w:eastAsia="Times New Roman" w:hAnsiTheme="minorHAnsi" w:cstheme="minorHAnsi"/>
              <w:color w:val="000000"/>
            </w:rPr>
            <w:t>Cheviron</w:t>
          </w:r>
          <w:proofErr w:type="spellEnd"/>
          <w:r w:rsidRPr="00EB1D71">
            <w:rPr>
              <w:rFonts w:asciiTheme="minorHAnsi" w:eastAsia="Times New Roman" w:hAnsiTheme="minorHAnsi" w:cstheme="minorHAnsi"/>
              <w:color w:val="000000"/>
            </w:rPr>
            <w:t xml:space="preserve">, N., Grondin, V., Marrauld, C., Poiroux, F., Bertrand, I., Abadie, J., </w:t>
          </w:r>
          <w:proofErr w:type="spellStart"/>
          <w:r w:rsidRPr="00EB1D71">
            <w:rPr>
              <w:rFonts w:asciiTheme="minorHAnsi" w:eastAsia="Times New Roman" w:hAnsiTheme="minorHAnsi" w:cstheme="minorHAnsi"/>
              <w:color w:val="000000"/>
            </w:rPr>
            <w:t>Pandard</w:t>
          </w:r>
          <w:proofErr w:type="spellEnd"/>
          <w:r w:rsidRPr="00EB1D71">
            <w:rPr>
              <w:rFonts w:asciiTheme="minorHAnsi" w:eastAsia="Times New Roman" w:hAnsiTheme="minorHAnsi" w:cstheme="minorHAnsi"/>
              <w:color w:val="000000"/>
            </w:rPr>
            <w:t xml:space="preserve">, P., Riah-Anglet, W., Dubois, C., &amp; Malý, S. (2022). Inter-laboratory validation of an ISO test method for measuring enzyme activities in soil samples using colorimetric substrates. </w:t>
          </w:r>
          <w:r w:rsidRPr="00EB1D71">
            <w:rPr>
              <w:rFonts w:asciiTheme="minorHAnsi" w:eastAsia="Times New Roman" w:hAnsiTheme="minorHAnsi" w:cstheme="minorHAnsi"/>
              <w:i/>
              <w:iCs/>
              <w:color w:val="000000"/>
            </w:rPr>
            <w:t>Environmental Science and Pollution Research</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29</w:t>
          </w:r>
          <w:r w:rsidRPr="00EB1D71">
            <w:rPr>
              <w:rFonts w:asciiTheme="minorHAnsi" w:eastAsia="Times New Roman" w:hAnsiTheme="minorHAnsi" w:cstheme="minorHAnsi"/>
              <w:color w:val="000000"/>
            </w:rPr>
            <w:t>, 29348–29357. https://doi.org/10.1007/s11356-021-17173-3ï</w:t>
          </w:r>
        </w:p>
        <w:p w14:paraId="394B0962"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Collier, S. M., Green, S. M., Inman, A., Hopkins, D. W., Kendall, H., Jahn, M. M., &amp; </w:t>
          </w:r>
          <w:proofErr w:type="spellStart"/>
          <w:r w:rsidRPr="00EB1D71">
            <w:rPr>
              <w:rFonts w:asciiTheme="minorHAnsi" w:eastAsia="Times New Roman" w:hAnsiTheme="minorHAnsi" w:cstheme="minorHAnsi"/>
              <w:color w:val="000000"/>
            </w:rPr>
            <w:t>Dungait</w:t>
          </w:r>
          <w:proofErr w:type="spellEnd"/>
          <w:r w:rsidRPr="00EB1D71">
            <w:rPr>
              <w:rFonts w:asciiTheme="minorHAnsi" w:eastAsia="Times New Roman" w:hAnsiTheme="minorHAnsi" w:cstheme="minorHAnsi"/>
              <w:color w:val="000000"/>
            </w:rPr>
            <w:t xml:space="preserve">, J. A. J. (2021). Effect of farm management on topsoil organic carbon and aggregate stability in water: A case study from Southwest England, UK. </w:t>
          </w:r>
          <w:r w:rsidRPr="00EB1D71">
            <w:rPr>
              <w:rFonts w:asciiTheme="minorHAnsi" w:eastAsia="Times New Roman" w:hAnsiTheme="minorHAnsi" w:cstheme="minorHAnsi"/>
              <w:i/>
              <w:iCs/>
              <w:color w:val="000000"/>
            </w:rPr>
            <w:t>Soil Use and Management</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37</w:t>
          </w:r>
          <w:r w:rsidRPr="00EB1D71">
            <w:rPr>
              <w:rFonts w:asciiTheme="minorHAnsi" w:eastAsia="Times New Roman" w:hAnsiTheme="minorHAnsi" w:cstheme="minorHAnsi"/>
              <w:color w:val="000000"/>
            </w:rPr>
            <w:t>(1), 49–62. https://doi.org/10.1111/sum.12658</w:t>
          </w:r>
        </w:p>
        <w:p w14:paraId="0EB3BF0C"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Deeks, L., &amp; Rickson, J. (2023). </w:t>
          </w:r>
          <w:r w:rsidRPr="00EB1D71">
            <w:rPr>
              <w:rFonts w:asciiTheme="minorHAnsi" w:eastAsia="Times New Roman" w:hAnsiTheme="minorHAnsi" w:cstheme="minorHAnsi"/>
              <w:i/>
              <w:iCs/>
              <w:color w:val="000000"/>
            </w:rPr>
            <w:t>Towards Indicators of Soil Health Annex 1: Review and evaluation of existing soil health indicators being used in the UK and internationally</w:t>
          </w:r>
          <w:r w:rsidRPr="00EB1D71">
            <w:rPr>
              <w:rFonts w:asciiTheme="minorHAnsi" w:eastAsia="Times New Roman" w:hAnsiTheme="minorHAnsi" w:cstheme="minorHAnsi"/>
              <w:color w:val="000000"/>
            </w:rPr>
            <w:t>. https://hub.jncc.gov.uk/assets/71cece04-eef3-4d34-b118-33ddad50912c#jncc-report-737-</w:t>
          </w:r>
        </w:p>
        <w:p w14:paraId="20B4E144"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Emmett, B., Fay, E., &amp; Heaton-Davies, T. (2024). </w:t>
          </w:r>
          <w:r w:rsidRPr="00EB1D71">
            <w:rPr>
              <w:rFonts w:asciiTheme="minorHAnsi" w:eastAsia="Times New Roman" w:hAnsiTheme="minorHAnsi" w:cstheme="minorHAnsi"/>
              <w:i/>
              <w:iCs/>
              <w:color w:val="000000"/>
            </w:rPr>
            <w:t>Visualisation of National Soil Monitoring Schemes: An Overview of National Soil Monitoring Schemes Across the Four Nations of the UK. LUNZ Soil TAG project</w:t>
          </w:r>
          <w:r w:rsidRPr="00EB1D71">
            <w:rPr>
              <w:rFonts w:asciiTheme="minorHAnsi" w:eastAsia="Times New Roman" w:hAnsiTheme="minorHAnsi" w:cstheme="minorHAnsi"/>
              <w:color w:val="000000"/>
            </w:rPr>
            <w:t>. https://doi.org/https://lunzhub.com/resources/approaches-to-nationwide-soil-monitoring-across-the-uk/</w:t>
          </w:r>
        </w:p>
        <w:p w14:paraId="5632A021"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Fajardo, M., Pino, V., Jones, E., Morgan, C., Stevenson, B., Saby, N., Lacoste, M., &amp; McBratney, A. (2025). Measuring soil aggregate stability with mobile phones, lessons, challenges, and future work. </w:t>
          </w:r>
          <w:r w:rsidRPr="00EB1D71">
            <w:rPr>
              <w:rFonts w:asciiTheme="minorHAnsi" w:eastAsia="Times New Roman" w:hAnsiTheme="minorHAnsi" w:cstheme="minorHAnsi"/>
              <w:i/>
              <w:iCs/>
              <w:color w:val="000000"/>
            </w:rPr>
            <w:t>Scientific Reports</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15</w:t>
          </w:r>
          <w:r w:rsidRPr="00EB1D71">
            <w:rPr>
              <w:rFonts w:asciiTheme="minorHAnsi" w:eastAsia="Times New Roman" w:hAnsiTheme="minorHAnsi" w:cstheme="minorHAnsi"/>
              <w:color w:val="000000"/>
            </w:rPr>
            <w:t>(1). https://doi.org/10.1038/s41598-025-09925-9</w:t>
          </w:r>
        </w:p>
        <w:p w14:paraId="6F35F531"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lastRenderedPageBreak/>
            <w:t xml:space="preserve">Fierer, N., Wood, S. A., &amp; Bueno de Mesquita, C. P. (2021). How microbes can, and cannot, be used to assess soil health. </w:t>
          </w:r>
          <w:r w:rsidRPr="00EB1D71">
            <w:rPr>
              <w:rFonts w:asciiTheme="minorHAnsi" w:eastAsia="Times New Roman" w:hAnsiTheme="minorHAnsi" w:cstheme="minorHAnsi"/>
              <w:i/>
              <w:iCs/>
              <w:color w:val="000000"/>
            </w:rPr>
            <w:t>Soil Biology and Biochemistry</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153</w:t>
          </w:r>
          <w:r w:rsidRPr="00EB1D71">
            <w:rPr>
              <w:rFonts w:asciiTheme="minorHAnsi" w:eastAsia="Times New Roman" w:hAnsiTheme="minorHAnsi" w:cstheme="minorHAnsi"/>
              <w:color w:val="000000"/>
            </w:rPr>
            <w:t>, 108111. https://doi.org/10.1016/j.soilbio.2020.108111</w:t>
          </w:r>
        </w:p>
        <w:p w14:paraId="040C4587"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Flynn, K. D., Bagnall, D. K., &amp; Morgan, C. L. S. (2020). Evaluation of SLAKES, a smartphone application for quantifying aggregate stability, in high-clay soils. </w:t>
          </w:r>
          <w:r w:rsidRPr="00EB1D71">
            <w:rPr>
              <w:rFonts w:asciiTheme="minorHAnsi" w:eastAsia="Times New Roman" w:hAnsiTheme="minorHAnsi" w:cstheme="minorHAnsi"/>
              <w:i/>
              <w:iCs/>
              <w:color w:val="000000"/>
            </w:rPr>
            <w:t>Soil Science Society of America Journal</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84</w:t>
          </w:r>
          <w:r w:rsidRPr="00EB1D71">
            <w:rPr>
              <w:rFonts w:asciiTheme="minorHAnsi" w:eastAsia="Times New Roman" w:hAnsiTheme="minorHAnsi" w:cstheme="minorHAnsi"/>
              <w:color w:val="000000"/>
            </w:rPr>
            <w:t>(2), 345–353. https://doi.org/10.1002/saj2.20012</w:t>
          </w:r>
        </w:p>
        <w:p w14:paraId="65D3EEBC"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proofErr w:type="spellStart"/>
          <w:r w:rsidRPr="00EB1D71">
            <w:rPr>
              <w:rFonts w:asciiTheme="minorHAnsi" w:eastAsia="Times New Roman" w:hAnsiTheme="minorHAnsi" w:cstheme="minorHAnsi"/>
              <w:color w:val="000000"/>
            </w:rPr>
            <w:t>Franzluebbers</w:t>
          </w:r>
          <w:proofErr w:type="spellEnd"/>
          <w:r w:rsidRPr="00EB1D71">
            <w:rPr>
              <w:rFonts w:asciiTheme="minorHAnsi" w:eastAsia="Times New Roman" w:hAnsiTheme="minorHAnsi" w:cstheme="minorHAnsi"/>
              <w:color w:val="000000"/>
            </w:rPr>
            <w:t xml:space="preserve">, A. J., Haney, R. L., Honeycutt, C. W., Schomberg, H. H., &amp; Hons, F. M. (2000). Flush of Carbon Dioxide Following Rewetting of Dried Soil Relates to Active Organic Pools. </w:t>
          </w:r>
          <w:r w:rsidRPr="00EB1D71">
            <w:rPr>
              <w:rFonts w:asciiTheme="minorHAnsi" w:eastAsia="Times New Roman" w:hAnsiTheme="minorHAnsi" w:cstheme="minorHAnsi"/>
              <w:i/>
              <w:iCs/>
              <w:color w:val="000000"/>
            </w:rPr>
            <w:t>Soil Science Society of America Journal</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64</w:t>
          </w:r>
          <w:r w:rsidRPr="00EB1D71">
            <w:rPr>
              <w:rFonts w:asciiTheme="minorHAnsi" w:eastAsia="Times New Roman" w:hAnsiTheme="minorHAnsi" w:cstheme="minorHAnsi"/>
              <w:color w:val="000000"/>
            </w:rPr>
            <w:t>(2), 613–623. https://doi.org/10.2136/sssaj2000.642613x</w:t>
          </w:r>
        </w:p>
        <w:p w14:paraId="0E7A7FF6"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proofErr w:type="spellStart"/>
          <w:r w:rsidRPr="00EB1D71">
            <w:rPr>
              <w:rFonts w:asciiTheme="minorHAnsi" w:eastAsia="Times New Roman" w:hAnsiTheme="minorHAnsi" w:cstheme="minorHAnsi"/>
              <w:color w:val="000000"/>
            </w:rPr>
            <w:t>Frewer</w:t>
          </w:r>
          <w:proofErr w:type="spellEnd"/>
          <w:r w:rsidRPr="00EB1D71">
            <w:rPr>
              <w:rFonts w:asciiTheme="minorHAnsi" w:eastAsia="Times New Roman" w:hAnsiTheme="minorHAnsi" w:cstheme="minorHAnsi"/>
              <w:color w:val="000000"/>
            </w:rPr>
            <w:t xml:space="preserve">, L. J., Fischer, A. R. H., </w:t>
          </w:r>
          <w:proofErr w:type="spellStart"/>
          <w:r w:rsidRPr="00EB1D71">
            <w:rPr>
              <w:rFonts w:asciiTheme="minorHAnsi" w:eastAsia="Times New Roman" w:hAnsiTheme="minorHAnsi" w:cstheme="minorHAnsi"/>
              <w:color w:val="000000"/>
            </w:rPr>
            <w:t>Wentholt</w:t>
          </w:r>
          <w:proofErr w:type="spellEnd"/>
          <w:r w:rsidRPr="00EB1D71">
            <w:rPr>
              <w:rFonts w:asciiTheme="minorHAnsi" w:eastAsia="Times New Roman" w:hAnsiTheme="minorHAnsi" w:cstheme="minorHAnsi"/>
              <w:color w:val="000000"/>
            </w:rPr>
            <w:t xml:space="preserve">, H. J. P., Marvin, B. W., Ooms, D., Coles, D., &amp; Rowe, g. (2011). The use of Delphi methodology in agrifood policy development: Some lessons learned, Technological Forecasting and Social Change. </w:t>
          </w:r>
          <w:r w:rsidRPr="00EB1D71">
            <w:rPr>
              <w:rFonts w:asciiTheme="minorHAnsi" w:eastAsia="Times New Roman" w:hAnsiTheme="minorHAnsi" w:cstheme="minorHAnsi"/>
              <w:i/>
              <w:iCs/>
              <w:color w:val="000000"/>
            </w:rPr>
            <w:t>Technological Forecasting and Social Change</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78</w:t>
          </w:r>
          <w:r w:rsidRPr="00EB1D71">
            <w:rPr>
              <w:rFonts w:asciiTheme="minorHAnsi" w:eastAsia="Times New Roman" w:hAnsiTheme="minorHAnsi" w:cstheme="minorHAnsi"/>
              <w:color w:val="000000"/>
            </w:rPr>
            <w:t>(9), 1514–1525.</w:t>
          </w:r>
        </w:p>
        <w:p w14:paraId="0C8BB5CB"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Fuka, M. M., Engel, M., </w:t>
          </w:r>
          <w:proofErr w:type="spellStart"/>
          <w:r w:rsidRPr="00EB1D71">
            <w:rPr>
              <w:rFonts w:asciiTheme="minorHAnsi" w:eastAsia="Times New Roman" w:hAnsiTheme="minorHAnsi" w:cstheme="minorHAnsi"/>
              <w:color w:val="000000"/>
            </w:rPr>
            <w:t>Gattinger</w:t>
          </w:r>
          <w:proofErr w:type="spellEnd"/>
          <w:r w:rsidRPr="00EB1D71">
            <w:rPr>
              <w:rFonts w:asciiTheme="minorHAnsi" w:eastAsia="Times New Roman" w:hAnsiTheme="minorHAnsi" w:cstheme="minorHAnsi"/>
              <w:color w:val="000000"/>
            </w:rPr>
            <w:t xml:space="preserve">, A., </w:t>
          </w:r>
          <w:proofErr w:type="spellStart"/>
          <w:r w:rsidRPr="00EB1D71">
            <w:rPr>
              <w:rFonts w:asciiTheme="minorHAnsi" w:eastAsia="Times New Roman" w:hAnsiTheme="minorHAnsi" w:cstheme="minorHAnsi"/>
              <w:color w:val="000000"/>
            </w:rPr>
            <w:t>Bausenwein</w:t>
          </w:r>
          <w:proofErr w:type="spellEnd"/>
          <w:r w:rsidRPr="00EB1D71">
            <w:rPr>
              <w:rFonts w:asciiTheme="minorHAnsi" w:eastAsia="Times New Roman" w:hAnsiTheme="minorHAnsi" w:cstheme="minorHAnsi"/>
              <w:color w:val="000000"/>
            </w:rPr>
            <w:t xml:space="preserve">, U., Sommer, M., Munch, J. C., &amp; </w:t>
          </w:r>
          <w:proofErr w:type="spellStart"/>
          <w:r w:rsidRPr="00EB1D71">
            <w:rPr>
              <w:rFonts w:asciiTheme="minorHAnsi" w:eastAsia="Times New Roman" w:hAnsiTheme="minorHAnsi" w:cstheme="minorHAnsi"/>
              <w:color w:val="000000"/>
            </w:rPr>
            <w:t>Schloter</w:t>
          </w:r>
          <w:proofErr w:type="spellEnd"/>
          <w:r w:rsidRPr="00EB1D71">
            <w:rPr>
              <w:rFonts w:asciiTheme="minorHAnsi" w:eastAsia="Times New Roman" w:hAnsiTheme="minorHAnsi" w:cstheme="minorHAnsi"/>
              <w:color w:val="000000"/>
            </w:rPr>
            <w:t xml:space="preserve">, M. (2008). Factors influencing variability of proteolytic genes and activities in arable soils. </w:t>
          </w:r>
          <w:r w:rsidRPr="00EB1D71">
            <w:rPr>
              <w:rFonts w:asciiTheme="minorHAnsi" w:eastAsia="Times New Roman" w:hAnsiTheme="minorHAnsi" w:cstheme="minorHAnsi"/>
              <w:i/>
              <w:iCs/>
              <w:color w:val="000000"/>
            </w:rPr>
            <w:t>Soil Biology and Biochemistry</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40</w:t>
          </w:r>
          <w:r w:rsidRPr="00EB1D71">
            <w:rPr>
              <w:rFonts w:asciiTheme="minorHAnsi" w:eastAsia="Times New Roman" w:hAnsiTheme="minorHAnsi" w:cstheme="minorHAnsi"/>
              <w:color w:val="000000"/>
            </w:rPr>
            <w:t>(7), 1646–1653. https://doi.org/10.1016/j.soilbio.2008.01.028</w:t>
          </w:r>
        </w:p>
        <w:p w14:paraId="66C9F3C7"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Ghani, A., Dexter, M., &amp; Perrott, K. W. (2003). Hot-water extractable carbon in soils: a sensitive measurement for determining impacts of fertilisation, grazing and cultivation. </w:t>
          </w:r>
          <w:r w:rsidRPr="00EB1D71">
            <w:rPr>
              <w:rFonts w:asciiTheme="minorHAnsi" w:eastAsia="Times New Roman" w:hAnsiTheme="minorHAnsi" w:cstheme="minorHAnsi"/>
              <w:i/>
              <w:iCs/>
              <w:color w:val="000000"/>
            </w:rPr>
            <w:t>Soil Biology and Biochemistry</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35</w:t>
          </w:r>
          <w:r w:rsidRPr="00EB1D71">
            <w:rPr>
              <w:rFonts w:asciiTheme="minorHAnsi" w:eastAsia="Times New Roman" w:hAnsiTheme="minorHAnsi" w:cstheme="minorHAnsi"/>
              <w:color w:val="000000"/>
            </w:rPr>
            <w:t>(9), 1231–1243.</w:t>
          </w:r>
        </w:p>
        <w:p w14:paraId="6C99FA9F"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Haney, R. L., Hons, F. M., Sanderson, M. A., &amp; </w:t>
          </w:r>
          <w:proofErr w:type="spellStart"/>
          <w:r w:rsidRPr="00EB1D71">
            <w:rPr>
              <w:rFonts w:asciiTheme="minorHAnsi" w:eastAsia="Times New Roman" w:hAnsiTheme="minorHAnsi" w:cstheme="minorHAnsi"/>
              <w:color w:val="000000"/>
            </w:rPr>
            <w:t>Franzluebbers</w:t>
          </w:r>
          <w:proofErr w:type="spellEnd"/>
          <w:r w:rsidRPr="00EB1D71">
            <w:rPr>
              <w:rFonts w:asciiTheme="minorHAnsi" w:eastAsia="Times New Roman" w:hAnsiTheme="minorHAnsi" w:cstheme="minorHAnsi"/>
              <w:color w:val="000000"/>
            </w:rPr>
            <w:t xml:space="preserve">, A. J. (2001). A rapid procedure for estimating nitrogen mineralization in manured soil. </w:t>
          </w:r>
          <w:r w:rsidRPr="00EB1D71">
            <w:rPr>
              <w:rFonts w:asciiTheme="minorHAnsi" w:eastAsia="Times New Roman" w:hAnsiTheme="minorHAnsi" w:cstheme="minorHAnsi"/>
              <w:i/>
              <w:iCs/>
              <w:color w:val="000000"/>
            </w:rPr>
            <w:t>Biology and Fertility of Soils</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33</w:t>
          </w:r>
          <w:r w:rsidRPr="00EB1D71">
            <w:rPr>
              <w:rFonts w:asciiTheme="minorHAnsi" w:eastAsia="Times New Roman" w:hAnsiTheme="minorHAnsi" w:cstheme="minorHAnsi"/>
              <w:color w:val="000000"/>
            </w:rPr>
            <w:t>, 100–104.</w:t>
          </w:r>
        </w:p>
        <w:p w14:paraId="6A30A417"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Howe, J. A., &amp; Smith, A. P. (2021). The soil habitat. </w:t>
          </w:r>
          <w:r w:rsidRPr="00EB1D71">
            <w:rPr>
              <w:rFonts w:asciiTheme="minorHAnsi" w:eastAsia="Times New Roman" w:hAnsiTheme="minorHAnsi" w:cstheme="minorHAnsi"/>
              <w:i/>
              <w:iCs/>
              <w:color w:val="000000"/>
            </w:rPr>
            <w:t>Principles and Applications of Soil Microbiology, Third Edition</w:t>
          </w:r>
          <w:r w:rsidRPr="00EB1D71">
            <w:rPr>
              <w:rFonts w:asciiTheme="minorHAnsi" w:eastAsia="Times New Roman" w:hAnsiTheme="minorHAnsi" w:cstheme="minorHAnsi"/>
              <w:color w:val="000000"/>
            </w:rPr>
            <w:t>, 23–55. https://doi.org/10.1016/B978-0-12-820202-9.00002-2</w:t>
          </w:r>
        </w:p>
        <w:p w14:paraId="6713E9C9"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Keeney, D. R. (1982). </w:t>
          </w:r>
          <w:r w:rsidRPr="00EB1D71">
            <w:rPr>
              <w:rFonts w:asciiTheme="minorHAnsi" w:eastAsia="Times New Roman" w:hAnsiTheme="minorHAnsi" w:cstheme="minorHAnsi"/>
              <w:i/>
              <w:iCs/>
              <w:color w:val="000000"/>
            </w:rPr>
            <w:t xml:space="preserve">35 Nitrogen - </w:t>
          </w:r>
          <w:proofErr w:type="spellStart"/>
          <w:r w:rsidRPr="00EB1D71">
            <w:rPr>
              <w:rFonts w:asciiTheme="minorHAnsi" w:eastAsia="Times New Roman" w:hAnsiTheme="minorHAnsi" w:cstheme="minorHAnsi"/>
              <w:i/>
              <w:iCs/>
              <w:color w:val="000000"/>
            </w:rPr>
            <w:t>Availablity</w:t>
          </w:r>
          <w:proofErr w:type="spellEnd"/>
          <w:r w:rsidRPr="00EB1D71">
            <w:rPr>
              <w:rFonts w:asciiTheme="minorHAnsi" w:eastAsia="Times New Roman" w:hAnsiTheme="minorHAnsi" w:cstheme="minorHAnsi"/>
              <w:i/>
              <w:iCs/>
              <w:color w:val="000000"/>
            </w:rPr>
            <w:t xml:space="preserve"> Indices: Part 2</w:t>
          </w:r>
          <w:r w:rsidRPr="00EB1D71">
            <w:rPr>
              <w:rFonts w:asciiTheme="minorHAnsi" w:eastAsia="Times New Roman" w:hAnsiTheme="minorHAnsi" w:cstheme="minorHAnsi"/>
              <w:color w:val="000000"/>
            </w:rPr>
            <w:t xml:space="preserve"> (A. L. Page, R. H. Miller, &amp; D. R. Keeney, Eds.). American Society of Agronomy, Inc.; Soil Science Society of America, Inc.</w:t>
          </w:r>
        </w:p>
        <w:p w14:paraId="01FC9F49"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Kemper, W. D., &amp; Rosenau, R. C. (1986). Aggregate Stability and Size Distribution. In A. Klute (Ed.), </w:t>
          </w:r>
          <w:r w:rsidRPr="00EB1D71">
            <w:rPr>
              <w:rFonts w:asciiTheme="minorHAnsi" w:eastAsia="Times New Roman" w:hAnsiTheme="minorHAnsi" w:cstheme="minorHAnsi"/>
              <w:i/>
              <w:iCs/>
              <w:color w:val="000000"/>
            </w:rPr>
            <w:t>Methods of Soil Analysis: Part 1 Physical and Mineralogical Methods</w:t>
          </w:r>
          <w:r w:rsidRPr="00EB1D71">
            <w:rPr>
              <w:rFonts w:asciiTheme="minorHAnsi" w:eastAsia="Times New Roman" w:hAnsiTheme="minorHAnsi" w:cstheme="minorHAnsi"/>
              <w:color w:val="000000"/>
            </w:rPr>
            <w:t xml:space="preserve"> (pp. 425–442). American Society of Agronomy, Inc.; Soil Science Society of America, Inc.</w:t>
          </w:r>
        </w:p>
        <w:p w14:paraId="53777023"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Lehmann, J., Bossio, D. A., Kögel-</w:t>
          </w:r>
          <w:proofErr w:type="spellStart"/>
          <w:r w:rsidRPr="00EB1D71">
            <w:rPr>
              <w:rFonts w:asciiTheme="minorHAnsi" w:eastAsia="Times New Roman" w:hAnsiTheme="minorHAnsi" w:cstheme="minorHAnsi"/>
              <w:color w:val="000000"/>
            </w:rPr>
            <w:t>Knabner</w:t>
          </w:r>
          <w:proofErr w:type="spellEnd"/>
          <w:r w:rsidRPr="00EB1D71">
            <w:rPr>
              <w:rFonts w:asciiTheme="minorHAnsi" w:eastAsia="Times New Roman" w:hAnsiTheme="minorHAnsi" w:cstheme="minorHAnsi"/>
              <w:color w:val="000000"/>
            </w:rPr>
            <w:t xml:space="preserve">, I., &amp; </w:t>
          </w:r>
          <w:proofErr w:type="spellStart"/>
          <w:r w:rsidRPr="00EB1D71">
            <w:rPr>
              <w:rFonts w:asciiTheme="minorHAnsi" w:eastAsia="Times New Roman" w:hAnsiTheme="minorHAnsi" w:cstheme="minorHAnsi"/>
              <w:color w:val="000000"/>
            </w:rPr>
            <w:t>Rillig</w:t>
          </w:r>
          <w:proofErr w:type="spellEnd"/>
          <w:r w:rsidRPr="00EB1D71">
            <w:rPr>
              <w:rFonts w:asciiTheme="minorHAnsi" w:eastAsia="Times New Roman" w:hAnsiTheme="minorHAnsi" w:cstheme="minorHAnsi"/>
              <w:color w:val="000000"/>
            </w:rPr>
            <w:t xml:space="preserve">, M. C. (2020). The concept and </w:t>
          </w:r>
          <w:proofErr w:type="gramStart"/>
          <w:r w:rsidRPr="00EB1D71">
            <w:rPr>
              <w:rFonts w:asciiTheme="minorHAnsi" w:eastAsia="Times New Roman" w:hAnsiTheme="minorHAnsi" w:cstheme="minorHAnsi"/>
              <w:color w:val="000000"/>
            </w:rPr>
            <w:t>future prospects</w:t>
          </w:r>
          <w:proofErr w:type="gramEnd"/>
          <w:r w:rsidRPr="00EB1D71">
            <w:rPr>
              <w:rFonts w:asciiTheme="minorHAnsi" w:eastAsia="Times New Roman" w:hAnsiTheme="minorHAnsi" w:cstheme="minorHAnsi"/>
              <w:color w:val="000000"/>
            </w:rPr>
            <w:t xml:space="preserve"> of soil health. In </w:t>
          </w:r>
          <w:r w:rsidRPr="00EB1D71">
            <w:rPr>
              <w:rFonts w:asciiTheme="minorHAnsi" w:eastAsia="Times New Roman" w:hAnsiTheme="minorHAnsi" w:cstheme="minorHAnsi"/>
              <w:i/>
              <w:iCs/>
              <w:color w:val="000000"/>
            </w:rPr>
            <w:t>Nature Reviews Earth and Environment</w:t>
          </w:r>
          <w:r w:rsidRPr="00EB1D71">
            <w:rPr>
              <w:rFonts w:asciiTheme="minorHAnsi" w:eastAsia="Times New Roman" w:hAnsiTheme="minorHAnsi" w:cstheme="minorHAnsi"/>
              <w:color w:val="000000"/>
            </w:rPr>
            <w:t xml:space="preserve"> (Vol. 1, Number 10, pp. 544–553). Springer Nature. https://doi.org/10.1038/s43017-020-0080-8</w:t>
          </w:r>
        </w:p>
        <w:p w14:paraId="2815C689"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Lucas, S. T., &amp; Weil, R. R. (2012). Can a Labile Carbon Test be Used to Predict Crop Responses to Improve Soil Organic Matter Management</w:t>
          </w:r>
          <w:proofErr w:type="gramStart"/>
          <w:r w:rsidRPr="00EB1D71">
            <w:rPr>
              <w:rFonts w:asciiTheme="minorHAnsi" w:eastAsia="Times New Roman" w:hAnsiTheme="minorHAnsi" w:cstheme="minorHAnsi"/>
              <w:color w:val="000000"/>
            </w:rPr>
            <w:t>? .</w:t>
          </w:r>
          <w:proofErr w:type="gramEnd"/>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Agronomy Journal</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104</w:t>
          </w:r>
          <w:r w:rsidRPr="00EB1D71">
            <w:rPr>
              <w:rFonts w:asciiTheme="minorHAnsi" w:eastAsia="Times New Roman" w:hAnsiTheme="minorHAnsi" w:cstheme="minorHAnsi"/>
              <w:color w:val="000000"/>
            </w:rPr>
            <w:t>, 11601170.</w:t>
          </w:r>
        </w:p>
        <w:p w14:paraId="666E3BC0"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Moebius-Clune, B. Nadine., Moebius-Clune, D. J., Gugino, B. K., Idowu, O. J., </w:t>
          </w:r>
          <w:proofErr w:type="spellStart"/>
          <w:r w:rsidRPr="00EB1D71">
            <w:rPr>
              <w:rFonts w:asciiTheme="minorHAnsi" w:eastAsia="Times New Roman" w:hAnsiTheme="minorHAnsi" w:cstheme="minorHAnsi"/>
              <w:color w:val="000000"/>
            </w:rPr>
            <w:t>Schindelbeck</w:t>
          </w:r>
          <w:proofErr w:type="spellEnd"/>
          <w:r w:rsidRPr="00EB1D71">
            <w:rPr>
              <w:rFonts w:asciiTheme="minorHAnsi" w:eastAsia="Times New Roman" w:hAnsiTheme="minorHAnsi" w:cstheme="minorHAnsi"/>
              <w:color w:val="000000"/>
            </w:rPr>
            <w:t xml:space="preserve">, R. R., Ristow, A. J., van Es, H. M., Thies, J. E., Shayler, H. A., McBride, M. B., Kurtz, K. S. M., Wolfe, D. W., &amp; Abawi, G. S. (2016). </w:t>
          </w:r>
          <w:r w:rsidRPr="00EB1D71">
            <w:rPr>
              <w:rFonts w:asciiTheme="minorHAnsi" w:eastAsia="Times New Roman" w:hAnsiTheme="minorHAnsi" w:cstheme="minorHAnsi"/>
              <w:i/>
              <w:iCs/>
              <w:color w:val="000000"/>
            </w:rPr>
            <w:t xml:space="preserve">Comprehensive assessment of soil </w:t>
          </w:r>
          <w:proofErr w:type="gramStart"/>
          <w:r w:rsidRPr="00EB1D71">
            <w:rPr>
              <w:rFonts w:asciiTheme="minorHAnsi" w:eastAsia="Times New Roman" w:hAnsiTheme="minorHAnsi" w:cstheme="minorHAnsi"/>
              <w:i/>
              <w:iCs/>
              <w:color w:val="000000"/>
            </w:rPr>
            <w:t>health :</w:t>
          </w:r>
          <w:proofErr w:type="gramEnd"/>
          <w:r w:rsidRPr="00EB1D71">
            <w:rPr>
              <w:rFonts w:asciiTheme="minorHAnsi" w:eastAsia="Times New Roman" w:hAnsiTheme="minorHAnsi" w:cstheme="minorHAnsi"/>
              <w:i/>
              <w:iCs/>
              <w:color w:val="000000"/>
            </w:rPr>
            <w:t xml:space="preserve"> the Cornell framework manual</w:t>
          </w:r>
          <w:r w:rsidRPr="00EB1D71">
            <w:rPr>
              <w:rFonts w:asciiTheme="minorHAnsi" w:eastAsia="Times New Roman" w:hAnsiTheme="minorHAnsi" w:cstheme="minorHAnsi"/>
              <w:color w:val="000000"/>
            </w:rPr>
            <w:t xml:space="preserve"> (Third Edition). Cornell University.</w:t>
          </w:r>
        </w:p>
        <w:p w14:paraId="2DF7279E"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Norris, C. E., Bean, G. Mac, </w:t>
          </w:r>
          <w:proofErr w:type="spellStart"/>
          <w:r w:rsidRPr="00EB1D71">
            <w:rPr>
              <w:rFonts w:asciiTheme="minorHAnsi" w:eastAsia="Times New Roman" w:hAnsiTheme="minorHAnsi" w:cstheme="minorHAnsi"/>
              <w:color w:val="000000"/>
            </w:rPr>
            <w:t>Cappellazzi</w:t>
          </w:r>
          <w:proofErr w:type="spellEnd"/>
          <w:r w:rsidRPr="00EB1D71">
            <w:rPr>
              <w:rFonts w:asciiTheme="minorHAnsi" w:eastAsia="Times New Roman" w:hAnsiTheme="minorHAnsi" w:cstheme="minorHAnsi"/>
              <w:color w:val="000000"/>
            </w:rPr>
            <w:t xml:space="preserve">, S. B., Cope, M., </w:t>
          </w:r>
          <w:proofErr w:type="spellStart"/>
          <w:r w:rsidRPr="00EB1D71">
            <w:rPr>
              <w:rFonts w:asciiTheme="minorHAnsi" w:eastAsia="Times New Roman" w:hAnsiTheme="minorHAnsi" w:cstheme="minorHAnsi"/>
              <w:color w:val="000000"/>
            </w:rPr>
            <w:t>Greub</w:t>
          </w:r>
          <w:proofErr w:type="spellEnd"/>
          <w:r w:rsidRPr="00EB1D71">
            <w:rPr>
              <w:rFonts w:asciiTheme="minorHAnsi" w:eastAsia="Times New Roman" w:hAnsiTheme="minorHAnsi" w:cstheme="minorHAnsi"/>
              <w:color w:val="000000"/>
            </w:rPr>
            <w:t xml:space="preserve">, K. L. H., </w:t>
          </w:r>
          <w:proofErr w:type="spellStart"/>
          <w:r w:rsidRPr="00EB1D71">
            <w:rPr>
              <w:rFonts w:asciiTheme="minorHAnsi" w:eastAsia="Times New Roman" w:hAnsiTheme="minorHAnsi" w:cstheme="minorHAnsi"/>
              <w:color w:val="000000"/>
            </w:rPr>
            <w:t>Liptzin</w:t>
          </w:r>
          <w:proofErr w:type="spellEnd"/>
          <w:r w:rsidRPr="00EB1D71">
            <w:rPr>
              <w:rFonts w:asciiTheme="minorHAnsi" w:eastAsia="Times New Roman" w:hAnsiTheme="minorHAnsi" w:cstheme="minorHAnsi"/>
              <w:color w:val="000000"/>
            </w:rPr>
            <w:t xml:space="preserve">, D., Rieke, E. L., Tracy, P. W., Morgan, C. L. S., &amp; Honeycutt, C. W. (2020). Introducing the North American project to evaluate soil health measurements. In </w:t>
          </w:r>
          <w:r w:rsidRPr="00EB1D71">
            <w:rPr>
              <w:rFonts w:asciiTheme="minorHAnsi" w:eastAsia="Times New Roman" w:hAnsiTheme="minorHAnsi" w:cstheme="minorHAnsi"/>
              <w:i/>
              <w:iCs/>
              <w:color w:val="000000"/>
            </w:rPr>
            <w:t>Agronomy Journal</w:t>
          </w:r>
          <w:r w:rsidRPr="00EB1D71">
            <w:rPr>
              <w:rFonts w:asciiTheme="minorHAnsi" w:eastAsia="Times New Roman" w:hAnsiTheme="minorHAnsi" w:cstheme="minorHAnsi"/>
              <w:color w:val="000000"/>
            </w:rPr>
            <w:t xml:space="preserve"> (Vol. 112, Number 4, pp. 3195–3215). John Wiley and Sons Inc. https://doi.org/10.1002/agj2.20234</w:t>
          </w:r>
        </w:p>
        <w:p w14:paraId="7DB79D54"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Norton, J. M., </w:t>
          </w:r>
          <w:proofErr w:type="spellStart"/>
          <w:r w:rsidRPr="00EB1D71">
            <w:rPr>
              <w:rFonts w:asciiTheme="minorHAnsi" w:eastAsia="Times New Roman" w:hAnsiTheme="minorHAnsi" w:cstheme="minorHAnsi"/>
              <w:color w:val="000000"/>
            </w:rPr>
            <w:t>Alzerreca</w:t>
          </w:r>
          <w:proofErr w:type="spellEnd"/>
          <w:r w:rsidRPr="00EB1D71">
            <w:rPr>
              <w:rFonts w:asciiTheme="minorHAnsi" w:eastAsia="Times New Roman" w:hAnsiTheme="minorHAnsi" w:cstheme="minorHAnsi"/>
              <w:color w:val="000000"/>
            </w:rPr>
            <w:t xml:space="preserve">, J. J., </w:t>
          </w:r>
          <w:proofErr w:type="spellStart"/>
          <w:r w:rsidRPr="00EB1D71">
            <w:rPr>
              <w:rFonts w:asciiTheme="minorHAnsi" w:eastAsia="Times New Roman" w:hAnsiTheme="minorHAnsi" w:cstheme="minorHAnsi"/>
              <w:color w:val="000000"/>
            </w:rPr>
            <w:t>Suwa</w:t>
          </w:r>
          <w:proofErr w:type="spellEnd"/>
          <w:r w:rsidRPr="00EB1D71">
            <w:rPr>
              <w:rFonts w:asciiTheme="minorHAnsi" w:eastAsia="Times New Roman" w:hAnsiTheme="minorHAnsi" w:cstheme="minorHAnsi"/>
              <w:color w:val="000000"/>
            </w:rPr>
            <w:t xml:space="preserve">, Y., &amp; Klotz, M. G. (2002). Diversity of ammonia monooxygenase operon in autotrophic ammonia-oxidizing bacteria. </w:t>
          </w:r>
          <w:r w:rsidRPr="00EB1D71">
            <w:rPr>
              <w:rFonts w:asciiTheme="minorHAnsi" w:eastAsia="Times New Roman" w:hAnsiTheme="minorHAnsi" w:cstheme="minorHAnsi"/>
              <w:i/>
              <w:iCs/>
              <w:color w:val="000000"/>
            </w:rPr>
            <w:t>Archives of Microbiology</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177</w:t>
          </w:r>
          <w:r w:rsidRPr="00EB1D71">
            <w:rPr>
              <w:rFonts w:asciiTheme="minorHAnsi" w:eastAsia="Times New Roman" w:hAnsiTheme="minorHAnsi" w:cstheme="minorHAnsi"/>
              <w:color w:val="000000"/>
            </w:rPr>
            <w:t>, 139–149.</w:t>
          </w:r>
        </w:p>
        <w:p w14:paraId="081BA3EB"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Orr, C. H., Leifert, C., Cummings, S. P., &amp; Cooper, J. M. (2012). Impacts of Organic and Conventional Crop Management on Diversity and Activity of Free-Living Nitrogen Fixing Bacteria and Total Bacteria Are Subsidiary to Temporal Effects. </w:t>
          </w:r>
          <w:proofErr w:type="spellStart"/>
          <w:r w:rsidRPr="00EB1D71">
            <w:rPr>
              <w:rFonts w:asciiTheme="minorHAnsi" w:eastAsia="Times New Roman" w:hAnsiTheme="minorHAnsi" w:cstheme="minorHAnsi"/>
              <w:i/>
              <w:iCs/>
              <w:color w:val="000000"/>
            </w:rPr>
            <w:t>PLoS</w:t>
          </w:r>
          <w:proofErr w:type="spellEnd"/>
          <w:r w:rsidRPr="00EB1D71">
            <w:rPr>
              <w:rFonts w:asciiTheme="minorHAnsi" w:eastAsia="Times New Roman" w:hAnsiTheme="minorHAnsi" w:cstheme="minorHAnsi"/>
              <w:i/>
              <w:iCs/>
              <w:color w:val="000000"/>
            </w:rPr>
            <w:t xml:space="preserve"> ONE</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7</w:t>
          </w:r>
          <w:r w:rsidRPr="00EB1D71">
            <w:rPr>
              <w:rFonts w:asciiTheme="minorHAnsi" w:eastAsia="Times New Roman" w:hAnsiTheme="minorHAnsi" w:cstheme="minorHAnsi"/>
              <w:color w:val="000000"/>
            </w:rPr>
            <w:t>(12), e52891. https://doi.org/10.1371/journal.pone.0052891</w:t>
          </w:r>
        </w:p>
        <w:p w14:paraId="276C205A"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Rabot, E., </w:t>
          </w:r>
          <w:proofErr w:type="spellStart"/>
          <w:r w:rsidRPr="00EB1D71">
            <w:rPr>
              <w:rFonts w:asciiTheme="minorHAnsi" w:eastAsia="Times New Roman" w:hAnsiTheme="minorHAnsi" w:cstheme="minorHAnsi"/>
              <w:color w:val="000000"/>
            </w:rPr>
            <w:t>Wiesmeier</w:t>
          </w:r>
          <w:proofErr w:type="spellEnd"/>
          <w:r w:rsidRPr="00EB1D71">
            <w:rPr>
              <w:rFonts w:asciiTheme="minorHAnsi" w:eastAsia="Times New Roman" w:hAnsiTheme="minorHAnsi" w:cstheme="minorHAnsi"/>
              <w:color w:val="000000"/>
            </w:rPr>
            <w:t xml:space="preserve">, M., Schlüter, S., &amp; Vogel, H. J. (2018). Soil structure as an indicator of soil functions: A review. In </w:t>
          </w:r>
          <w:proofErr w:type="spellStart"/>
          <w:r w:rsidRPr="00EB1D71">
            <w:rPr>
              <w:rFonts w:asciiTheme="minorHAnsi" w:eastAsia="Times New Roman" w:hAnsiTheme="minorHAnsi" w:cstheme="minorHAnsi"/>
              <w:i/>
              <w:iCs/>
              <w:color w:val="000000"/>
            </w:rPr>
            <w:t>Geoderma</w:t>
          </w:r>
          <w:proofErr w:type="spellEnd"/>
          <w:r w:rsidRPr="00EB1D71">
            <w:rPr>
              <w:rFonts w:asciiTheme="minorHAnsi" w:eastAsia="Times New Roman" w:hAnsiTheme="minorHAnsi" w:cstheme="minorHAnsi"/>
              <w:color w:val="000000"/>
            </w:rPr>
            <w:t xml:space="preserve"> (Vol. 314, pp. 122–137). Elsevier B.V. https://doi.org/10.1016/j.geoderma.2017.11.009</w:t>
          </w:r>
        </w:p>
        <w:p w14:paraId="7A21D616"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lastRenderedPageBreak/>
            <w:t xml:space="preserve">Ramsey, P. W., Rillig, M. C., Feris, K. P., Holben, W. E., &amp; Gannon, J. E. (2006). Choice of methods for soil microbial community analysis: PLFA maximizes power compared to CLPP and PCR-based approaches. </w:t>
          </w:r>
          <w:proofErr w:type="spellStart"/>
          <w:r w:rsidRPr="00EB1D71">
            <w:rPr>
              <w:rFonts w:asciiTheme="minorHAnsi" w:eastAsia="Times New Roman" w:hAnsiTheme="minorHAnsi" w:cstheme="minorHAnsi"/>
              <w:i/>
              <w:iCs/>
              <w:color w:val="000000"/>
            </w:rPr>
            <w:t>Pedobiologia</w:t>
          </w:r>
          <w:proofErr w:type="spellEnd"/>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50</w:t>
          </w:r>
          <w:r w:rsidRPr="00EB1D71">
            <w:rPr>
              <w:rFonts w:asciiTheme="minorHAnsi" w:eastAsia="Times New Roman" w:hAnsiTheme="minorHAnsi" w:cstheme="minorHAnsi"/>
              <w:color w:val="000000"/>
            </w:rPr>
            <w:t>(3), 275–280. https://doi.org/10.1016/j.pedobi.2006.03.003</w:t>
          </w:r>
        </w:p>
        <w:p w14:paraId="7F1F0F70"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Rillig, M. C. (2004). Arbuscular mycorrhizae, glomalin, and soil aggregation. </w:t>
          </w:r>
          <w:r w:rsidRPr="00EB1D71">
            <w:rPr>
              <w:rFonts w:asciiTheme="minorHAnsi" w:eastAsia="Times New Roman" w:hAnsiTheme="minorHAnsi" w:cstheme="minorHAnsi"/>
              <w:i/>
              <w:iCs/>
              <w:color w:val="000000"/>
            </w:rPr>
            <w:t>Canadian Journal of Soil Science</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84</w:t>
          </w:r>
          <w:r w:rsidRPr="00EB1D71">
            <w:rPr>
              <w:rFonts w:asciiTheme="minorHAnsi" w:eastAsia="Times New Roman" w:hAnsiTheme="minorHAnsi" w:cstheme="minorHAnsi"/>
              <w:color w:val="000000"/>
            </w:rPr>
            <w:t>(4), 353–363.</w:t>
          </w:r>
        </w:p>
        <w:p w14:paraId="65A028DB"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Ritz, K., Black, H. I. J., Campbell, C. D., Harris, J. A., &amp; Wood, C. (2009). Selecting biological indicators for monitoring soils: A framework for balancing scientific and technical opinion to assist policy development. </w:t>
          </w:r>
          <w:r w:rsidRPr="00EB1D71">
            <w:rPr>
              <w:rFonts w:asciiTheme="minorHAnsi" w:eastAsia="Times New Roman" w:hAnsiTheme="minorHAnsi" w:cstheme="minorHAnsi"/>
              <w:i/>
              <w:iCs/>
              <w:color w:val="000000"/>
            </w:rPr>
            <w:t>Ecological Indicators</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9</w:t>
          </w:r>
          <w:r w:rsidRPr="00EB1D71">
            <w:rPr>
              <w:rFonts w:asciiTheme="minorHAnsi" w:eastAsia="Times New Roman" w:hAnsiTheme="minorHAnsi" w:cstheme="minorHAnsi"/>
              <w:color w:val="000000"/>
            </w:rPr>
            <w:t>(6), 1212–1221. https://doi.org/10.1016/j.ecolind.2009.02.009</w:t>
          </w:r>
        </w:p>
        <w:p w14:paraId="4C4C4C6C"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Robinson, J. M., Annells, A., Cavagnaro, T. R., Liddicoat, C., Rogers, H., Taylor, A., &amp; Breed, M. F. (2024). Monitoring soil fauna with </w:t>
          </w:r>
          <w:proofErr w:type="spellStart"/>
          <w:r w:rsidRPr="00EB1D71">
            <w:rPr>
              <w:rFonts w:asciiTheme="minorHAnsi" w:eastAsia="Times New Roman" w:hAnsiTheme="minorHAnsi" w:cstheme="minorHAnsi"/>
              <w:color w:val="000000"/>
            </w:rPr>
            <w:t>ecoacoustics</w:t>
          </w:r>
          <w:proofErr w:type="spellEnd"/>
          <w:r w:rsidRPr="00EB1D71">
            <w:rPr>
              <w:rFonts w:asciiTheme="minorHAnsi" w:eastAsia="Times New Roman" w:hAnsiTheme="minorHAnsi" w:cstheme="minorHAnsi"/>
              <w:color w:val="000000"/>
            </w:rPr>
            <w:t xml:space="preserve">. In </w:t>
          </w:r>
          <w:r w:rsidRPr="00EB1D71">
            <w:rPr>
              <w:rFonts w:asciiTheme="minorHAnsi" w:eastAsia="Times New Roman" w:hAnsiTheme="minorHAnsi" w:cstheme="minorHAnsi"/>
              <w:i/>
              <w:iCs/>
              <w:color w:val="000000"/>
            </w:rPr>
            <w:t>Proceedings of the Royal Society B: Biological Sciences</w:t>
          </w:r>
          <w:r w:rsidRPr="00EB1D71">
            <w:rPr>
              <w:rFonts w:asciiTheme="minorHAnsi" w:eastAsia="Times New Roman" w:hAnsiTheme="minorHAnsi" w:cstheme="minorHAnsi"/>
              <w:color w:val="000000"/>
            </w:rPr>
            <w:t xml:space="preserve"> (Vol. 291, Number 2030). Royal Society Publishing. https://doi.org/10.1098/rspb.2024.1595</w:t>
          </w:r>
        </w:p>
        <w:p w14:paraId="261CB689"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Rocci, K. S., </w:t>
          </w:r>
          <w:proofErr w:type="spellStart"/>
          <w:r w:rsidRPr="00EB1D71">
            <w:rPr>
              <w:rFonts w:asciiTheme="minorHAnsi" w:eastAsia="Times New Roman" w:hAnsiTheme="minorHAnsi" w:cstheme="minorHAnsi"/>
              <w:color w:val="000000"/>
            </w:rPr>
            <w:t>Cotrufo</w:t>
          </w:r>
          <w:proofErr w:type="spellEnd"/>
          <w:r w:rsidRPr="00EB1D71">
            <w:rPr>
              <w:rFonts w:asciiTheme="minorHAnsi" w:eastAsia="Times New Roman" w:hAnsiTheme="minorHAnsi" w:cstheme="minorHAnsi"/>
              <w:color w:val="000000"/>
            </w:rPr>
            <w:t xml:space="preserve">, M. F., Ernakovich, J., Foster, E., Frey, S., Georgiou, K., Grandy, A. S., Malhotra, A., Reich, P. B., </w:t>
          </w:r>
          <w:proofErr w:type="spellStart"/>
          <w:r w:rsidRPr="00EB1D71">
            <w:rPr>
              <w:rFonts w:asciiTheme="minorHAnsi" w:eastAsia="Times New Roman" w:hAnsiTheme="minorHAnsi" w:cstheme="minorHAnsi"/>
              <w:color w:val="000000"/>
            </w:rPr>
            <w:t>Schlerman</w:t>
          </w:r>
          <w:proofErr w:type="spellEnd"/>
          <w:r w:rsidRPr="00EB1D71">
            <w:rPr>
              <w:rFonts w:asciiTheme="minorHAnsi" w:eastAsia="Times New Roman" w:hAnsiTheme="minorHAnsi" w:cstheme="minorHAnsi"/>
              <w:color w:val="000000"/>
            </w:rPr>
            <w:t xml:space="preserve">, E. P., &amp; Wieder, W. R. (2024). Bridging 20 Years of Soil Organic Matter Frameworks: Empirical Support, Model Representation, and Next Steps. In </w:t>
          </w:r>
          <w:r w:rsidRPr="00EB1D71">
            <w:rPr>
              <w:rFonts w:asciiTheme="minorHAnsi" w:eastAsia="Times New Roman" w:hAnsiTheme="minorHAnsi" w:cstheme="minorHAnsi"/>
              <w:i/>
              <w:iCs/>
              <w:color w:val="000000"/>
            </w:rPr>
            <w:t xml:space="preserve">Journal of Geophysical Research: </w:t>
          </w:r>
          <w:proofErr w:type="spellStart"/>
          <w:r w:rsidRPr="00EB1D71">
            <w:rPr>
              <w:rFonts w:asciiTheme="minorHAnsi" w:eastAsia="Times New Roman" w:hAnsiTheme="minorHAnsi" w:cstheme="minorHAnsi"/>
              <w:i/>
              <w:iCs/>
              <w:color w:val="000000"/>
            </w:rPr>
            <w:t>Biogeosciences</w:t>
          </w:r>
          <w:proofErr w:type="spellEnd"/>
          <w:r w:rsidRPr="00EB1D71">
            <w:rPr>
              <w:rFonts w:asciiTheme="minorHAnsi" w:eastAsia="Times New Roman" w:hAnsiTheme="minorHAnsi" w:cstheme="minorHAnsi"/>
              <w:color w:val="000000"/>
            </w:rPr>
            <w:t xml:space="preserve"> (Vol. 129, Number 6). John Wiley and Sons Inc. https://doi.org/10.1029/2023JG007964</w:t>
          </w:r>
        </w:p>
        <w:p w14:paraId="36935D71"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D943D4">
            <w:rPr>
              <w:rFonts w:asciiTheme="minorHAnsi" w:eastAsia="Times New Roman" w:hAnsiTheme="minorHAnsi" w:cstheme="minorHAnsi"/>
              <w:color w:val="000000"/>
              <w:lang w:val="pt-BR"/>
            </w:rPr>
            <w:t xml:space="preserve">Rodriguez, S., Baeza, M. C., García, G. V., Domínguez, G. F., Clemente, N. L., &amp; Studdert, G. A. (2022). </w:t>
          </w:r>
          <w:r w:rsidRPr="00EB1D71">
            <w:rPr>
              <w:rFonts w:asciiTheme="minorHAnsi" w:eastAsia="Times New Roman" w:hAnsiTheme="minorHAnsi" w:cstheme="minorHAnsi"/>
              <w:color w:val="000000"/>
            </w:rPr>
            <w:t xml:space="preserve">Permanganate Oxidizable Carbon, New Soil Health Indicator for Mollisols of the Southeastern Argentinean Pampas? In </w:t>
          </w:r>
          <w:r w:rsidRPr="00EB1D71">
            <w:rPr>
              <w:rFonts w:asciiTheme="minorHAnsi" w:eastAsia="Times New Roman" w:hAnsiTheme="minorHAnsi" w:cstheme="minorHAnsi"/>
              <w:i/>
              <w:iCs/>
              <w:color w:val="000000"/>
            </w:rPr>
            <w:t>Communications in Soil Science and Plant Analysis</w:t>
          </w:r>
          <w:r w:rsidRPr="00EB1D71">
            <w:rPr>
              <w:rFonts w:asciiTheme="minorHAnsi" w:eastAsia="Times New Roman" w:hAnsiTheme="minorHAnsi" w:cstheme="minorHAnsi"/>
              <w:color w:val="000000"/>
            </w:rPr>
            <w:t xml:space="preserve"> (Vol. 53, Number 16, pp. 2029–2044). Taylor and Francis Ltd. https://doi.org/10.1080/00103624.2022.2070631</w:t>
          </w:r>
        </w:p>
        <w:p w14:paraId="4E749051"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Scow, K. (1997). 11 - Soil Microbial Communities and Carbon Flow in Agroecosystems. In L. Jackson (Ed.), </w:t>
          </w:r>
          <w:r w:rsidRPr="00EB1D71">
            <w:rPr>
              <w:rFonts w:asciiTheme="minorHAnsi" w:eastAsia="Times New Roman" w:hAnsiTheme="minorHAnsi" w:cstheme="minorHAnsi"/>
              <w:i/>
              <w:iCs/>
              <w:color w:val="000000"/>
            </w:rPr>
            <w:t>Ecology in Agriculture</w:t>
          </w:r>
          <w:r w:rsidRPr="00EB1D71">
            <w:rPr>
              <w:rFonts w:asciiTheme="minorHAnsi" w:eastAsia="Times New Roman" w:hAnsiTheme="minorHAnsi" w:cstheme="minorHAnsi"/>
              <w:color w:val="000000"/>
            </w:rPr>
            <w:t xml:space="preserve"> (pp. 367–413). Academic Press.</w:t>
          </w:r>
        </w:p>
        <w:p w14:paraId="68D14C37"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D943D4">
            <w:rPr>
              <w:rFonts w:asciiTheme="minorHAnsi" w:eastAsia="Times New Roman" w:hAnsiTheme="minorHAnsi" w:cstheme="minorHAnsi"/>
              <w:color w:val="000000"/>
              <w:lang w:val="pt-BR"/>
            </w:rPr>
            <w:t xml:space="preserve">Semenov, M. V., Zhelezova, A. D., Ksenofontova, N. A., Ivanova, E. A., Nikitin, D. A., &amp; Semenov, V. M. (2025). </w:t>
          </w:r>
          <w:r w:rsidRPr="00EB1D71">
            <w:rPr>
              <w:rFonts w:asciiTheme="minorHAnsi" w:eastAsia="Times New Roman" w:hAnsiTheme="minorHAnsi" w:cstheme="minorHAnsi"/>
              <w:color w:val="000000"/>
            </w:rPr>
            <w:t xml:space="preserve">Microbiological Indicators for Assessing the Effects of Agricultural Practices on Soil Health: A Review. In </w:t>
          </w:r>
          <w:r w:rsidRPr="00EB1D71">
            <w:rPr>
              <w:rFonts w:asciiTheme="minorHAnsi" w:eastAsia="Times New Roman" w:hAnsiTheme="minorHAnsi" w:cstheme="minorHAnsi"/>
              <w:i/>
              <w:iCs/>
              <w:color w:val="000000"/>
            </w:rPr>
            <w:t>Agronomy</w:t>
          </w:r>
          <w:r w:rsidRPr="00EB1D71">
            <w:rPr>
              <w:rFonts w:asciiTheme="minorHAnsi" w:eastAsia="Times New Roman" w:hAnsiTheme="minorHAnsi" w:cstheme="minorHAnsi"/>
              <w:color w:val="000000"/>
            </w:rPr>
            <w:t xml:space="preserve"> (Vol. 15, Number 2). Multidisciplinary Digital Publishing Institute (MDPI). https://doi.org/10.3390/agronomy15020335</w:t>
          </w:r>
        </w:p>
        <w:p w14:paraId="4065BD30"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Sharifi, M., Zebarth, B. J., Burton, D. L., Grant, C. A., &amp; Cooper, J. M. (2007). Evaluation of Some Indices of Potentially Mineralizable Nitrogen in Soil. </w:t>
          </w:r>
          <w:r w:rsidRPr="00EB1D71">
            <w:rPr>
              <w:rFonts w:asciiTheme="minorHAnsi" w:eastAsia="Times New Roman" w:hAnsiTheme="minorHAnsi" w:cstheme="minorHAnsi"/>
              <w:i/>
              <w:iCs/>
              <w:color w:val="000000"/>
            </w:rPr>
            <w:t>Soil Science Society of America Journal</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71</w:t>
          </w:r>
          <w:r w:rsidRPr="00EB1D71">
            <w:rPr>
              <w:rFonts w:asciiTheme="minorHAnsi" w:eastAsia="Times New Roman" w:hAnsiTheme="minorHAnsi" w:cstheme="minorHAnsi"/>
              <w:color w:val="000000"/>
            </w:rPr>
            <w:t>, 1233–1239.</w:t>
          </w:r>
        </w:p>
        <w:p w14:paraId="1A17A0CC"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Stone, D., Ritz, K., Griffiths, B. G., </w:t>
          </w:r>
          <w:proofErr w:type="spellStart"/>
          <w:r w:rsidRPr="00EB1D71">
            <w:rPr>
              <w:rFonts w:asciiTheme="minorHAnsi" w:eastAsia="Times New Roman" w:hAnsiTheme="minorHAnsi" w:cstheme="minorHAnsi"/>
              <w:color w:val="000000"/>
            </w:rPr>
            <w:t>Orgiazzi</w:t>
          </w:r>
          <w:proofErr w:type="spellEnd"/>
          <w:r w:rsidRPr="00EB1D71">
            <w:rPr>
              <w:rFonts w:asciiTheme="minorHAnsi" w:eastAsia="Times New Roman" w:hAnsiTheme="minorHAnsi" w:cstheme="minorHAnsi"/>
              <w:color w:val="000000"/>
            </w:rPr>
            <w:t xml:space="preserve">, A., &amp; Creamer, R. E. (2016). Selection of biological indicators appropriate for European soil monitoring. </w:t>
          </w:r>
          <w:r w:rsidRPr="00EB1D71">
            <w:rPr>
              <w:rFonts w:asciiTheme="minorHAnsi" w:eastAsia="Times New Roman" w:hAnsiTheme="minorHAnsi" w:cstheme="minorHAnsi"/>
              <w:i/>
              <w:iCs/>
              <w:color w:val="000000"/>
            </w:rPr>
            <w:t>Applied Soil Ecology</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97</w:t>
          </w:r>
          <w:r w:rsidRPr="00EB1D71">
            <w:rPr>
              <w:rFonts w:asciiTheme="minorHAnsi" w:eastAsia="Times New Roman" w:hAnsiTheme="minorHAnsi" w:cstheme="minorHAnsi"/>
              <w:color w:val="000000"/>
            </w:rPr>
            <w:t>, 12–22. https://doi.org/10.1016/j.apsoil.2015.08.005</w:t>
          </w:r>
        </w:p>
        <w:p w14:paraId="17807B18"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Stott, D. E. (2019). </w:t>
          </w:r>
          <w:r w:rsidRPr="00EB1D71">
            <w:rPr>
              <w:rFonts w:asciiTheme="minorHAnsi" w:eastAsia="Times New Roman" w:hAnsiTheme="minorHAnsi" w:cstheme="minorHAnsi"/>
              <w:i/>
              <w:iCs/>
              <w:color w:val="000000"/>
            </w:rPr>
            <w:t>Recommended Soil Health Indicators and Associated Laboratory Procedures</w:t>
          </w:r>
          <w:r w:rsidRPr="00EB1D71">
            <w:rPr>
              <w:rFonts w:asciiTheme="minorHAnsi" w:eastAsia="Times New Roman" w:hAnsiTheme="minorHAnsi" w:cstheme="minorHAnsi"/>
              <w:color w:val="000000"/>
            </w:rPr>
            <w:t>.</w:t>
          </w:r>
        </w:p>
        <w:p w14:paraId="36FEF80C"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D943D4">
            <w:rPr>
              <w:rFonts w:asciiTheme="minorHAnsi" w:eastAsia="Times New Roman" w:hAnsiTheme="minorHAnsi" w:cstheme="minorHAnsi"/>
              <w:color w:val="000000"/>
              <w:lang w:val="pt-BR"/>
            </w:rPr>
            <w:t xml:space="preserve">Trybek, M., Algarin, C. A. V., Grande, L. H. Q., Sebim, J. P. M., Canisares, L. P., Morgan, C. L. S., Cerri, C. E. P., &amp; Cherubin, M. R. (2026). </w:t>
          </w:r>
          <w:r w:rsidRPr="00EB1D71">
            <w:rPr>
              <w:rFonts w:asciiTheme="minorHAnsi" w:eastAsia="Times New Roman" w:hAnsiTheme="minorHAnsi" w:cstheme="minorHAnsi"/>
              <w:color w:val="000000"/>
            </w:rPr>
            <w:t xml:space="preserve">Aggregate stability measurements of tropical soils under conservation agriculture using the Slakes smartphone app. </w:t>
          </w:r>
          <w:r w:rsidRPr="00EB1D71">
            <w:rPr>
              <w:rFonts w:asciiTheme="minorHAnsi" w:eastAsia="Times New Roman" w:hAnsiTheme="minorHAnsi" w:cstheme="minorHAnsi"/>
              <w:i/>
              <w:iCs/>
              <w:color w:val="000000"/>
            </w:rPr>
            <w:t>Soil and Tillage Research</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257</w:t>
          </w:r>
          <w:r w:rsidRPr="00EB1D71">
            <w:rPr>
              <w:rFonts w:asciiTheme="minorHAnsi" w:eastAsia="Times New Roman" w:hAnsiTheme="minorHAnsi" w:cstheme="minorHAnsi"/>
              <w:color w:val="000000"/>
            </w:rPr>
            <w:t>, 106984. https://doi.org/10.1016/j.still.2025.106984</w:t>
          </w:r>
        </w:p>
        <w:p w14:paraId="6E7EC444"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van Galen, L. G., Smith, G. R., </w:t>
          </w:r>
          <w:proofErr w:type="spellStart"/>
          <w:r w:rsidRPr="00EB1D71">
            <w:rPr>
              <w:rFonts w:asciiTheme="minorHAnsi" w:eastAsia="Times New Roman" w:hAnsiTheme="minorHAnsi" w:cstheme="minorHAnsi"/>
              <w:color w:val="000000"/>
            </w:rPr>
            <w:t>Margenot</w:t>
          </w:r>
          <w:proofErr w:type="spellEnd"/>
          <w:r w:rsidRPr="00EB1D71">
            <w:rPr>
              <w:rFonts w:asciiTheme="minorHAnsi" w:eastAsia="Times New Roman" w:hAnsiTheme="minorHAnsi" w:cstheme="minorHAnsi"/>
              <w:color w:val="000000"/>
            </w:rPr>
            <w:t xml:space="preserve">, A. J., Waldrop, M. P., Crowther, T. W., Peay, K. G., Jackson, R. B., Yu, K., Abrahão, A., Ahmed, T. A., Alatalo, J. M., </w:t>
          </w:r>
          <w:proofErr w:type="spellStart"/>
          <w:r w:rsidRPr="00EB1D71">
            <w:rPr>
              <w:rFonts w:asciiTheme="minorHAnsi" w:eastAsia="Times New Roman" w:hAnsiTheme="minorHAnsi" w:cstheme="minorHAnsi"/>
              <w:color w:val="000000"/>
            </w:rPr>
            <w:t>Anslan</w:t>
          </w:r>
          <w:proofErr w:type="spellEnd"/>
          <w:r w:rsidRPr="00EB1D71">
            <w:rPr>
              <w:rFonts w:asciiTheme="minorHAnsi" w:eastAsia="Times New Roman" w:hAnsiTheme="minorHAnsi" w:cstheme="minorHAnsi"/>
              <w:color w:val="000000"/>
            </w:rPr>
            <w:t xml:space="preserve">, S., Anthony, M. A., Araujo, A. S. F., Ascher-Jenull, J., Bach, E. M., Bahram, M., Baker, C. C. M., Baldrian, P., … van den </w:t>
          </w:r>
          <w:proofErr w:type="spellStart"/>
          <w:r w:rsidRPr="00EB1D71">
            <w:rPr>
              <w:rFonts w:asciiTheme="minorHAnsi" w:eastAsia="Times New Roman" w:hAnsiTheme="minorHAnsi" w:cstheme="minorHAnsi"/>
              <w:color w:val="000000"/>
            </w:rPr>
            <w:t>Hoogen</w:t>
          </w:r>
          <w:proofErr w:type="spellEnd"/>
          <w:r w:rsidRPr="00EB1D71">
            <w:rPr>
              <w:rFonts w:asciiTheme="minorHAnsi" w:eastAsia="Times New Roman" w:hAnsiTheme="minorHAnsi" w:cstheme="minorHAnsi"/>
              <w:color w:val="000000"/>
            </w:rPr>
            <w:t xml:space="preserve">, J. (2025). A global database of soil microbial phospholipid fatty acids and enzyme activities. </w:t>
          </w:r>
          <w:r w:rsidRPr="00EB1D71">
            <w:rPr>
              <w:rFonts w:asciiTheme="minorHAnsi" w:eastAsia="Times New Roman" w:hAnsiTheme="minorHAnsi" w:cstheme="minorHAnsi"/>
              <w:i/>
              <w:iCs/>
              <w:color w:val="000000"/>
            </w:rPr>
            <w:t xml:space="preserve">Scientific </w:t>
          </w:r>
          <w:proofErr w:type="gramStart"/>
          <w:r w:rsidRPr="00EB1D71">
            <w:rPr>
              <w:rFonts w:asciiTheme="minorHAnsi" w:eastAsia="Times New Roman" w:hAnsiTheme="minorHAnsi" w:cstheme="minorHAnsi"/>
              <w:i/>
              <w:iCs/>
              <w:color w:val="000000"/>
            </w:rPr>
            <w:t xml:space="preserve">Data </w:t>
          </w:r>
          <w:r w:rsidRPr="00EB1D71">
            <w:rPr>
              <w:rFonts w:asciiTheme="minorHAnsi" w:eastAsia="Times New Roman" w:hAnsiTheme="minorHAnsi" w:cstheme="minorHAnsi"/>
              <w:color w:val="000000"/>
            </w:rPr>
            <w:t>,</w:t>
          </w:r>
          <w:proofErr w:type="gramEnd"/>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12</w:t>
          </w:r>
          <w:r w:rsidRPr="00EB1D71">
            <w:rPr>
              <w:rFonts w:asciiTheme="minorHAnsi" w:eastAsia="Times New Roman" w:hAnsiTheme="minorHAnsi" w:cstheme="minorHAnsi"/>
              <w:color w:val="000000"/>
            </w:rPr>
            <w:t>(1). https://doi.org/10.1038/s41597-025-05759-2</w:t>
          </w:r>
        </w:p>
        <w:p w14:paraId="103C51BA" w14:textId="77777777" w:rsidR="00B404D1" w:rsidRPr="00EB1D71"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Wade, J., </w:t>
          </w:r>
          <w:proofErr w:type="spellStart"/>
          <w:r w:rsidRPr="00EB1D71">
            <w:rPr>
              <w:rFonts w:asciiTheme="minorHAnsi" w:eastAsia="Times New Roman" w:hAnsiTheme="minorHAnsi" w:cstheme="minorHAnsi"/>
              <w:color w:val="000000"/>
            </w:rPr>
            <w:t>Chongyan</w:t>
          </w:r>
          <w:proofErr w:type="spellEnd"/>
          <w:r w:rsidRPr="00EB1D71">
            <w:rPr>
              <w:rFonts w:asciiTheme="minorHAnsi" w:eastAsia="Times New Roman" w:hAnsiTheme="minorHAnsi" w:cstheme="minorHAnsi"/>
              <w:color w:val="000000"/>
            </w:rPr>
            <w:t xml:space="preserve">, L., Mirjam, M., </w:t>
          </w:r>
          <w:proofErr w:type="spellStart"/>
          <w:r w:rsidRPr="00EB1D71">
            <w:rPr>
              <w:rFonts w:asciiTheme="minorHAnsi" w:eastAsia="Times New Roman" w:hAnsiTheme="minorHAnsi" w:cstheme="minorHAnsi"/>
              <w:color w:val="000000"/>
            </w:rPr>
            <w:t>Pulleman</w:t>
          </w:r>
          <w:proofErr w:type="spellEnd"/>
          <w:r w:rsidRPr="00EB1D71">
            <w:rPr>
              <w:rFonts w:asciiTheme="minorHAnsi" w:eastAsia="Times New Roman" w:hAnsiTheme="minorHAnsi" w:cstheme="minorHAnsi"/>
              <w:color w:val="000000"/>
            </w:rPr>
            <w:t xml:space="preserve">, G., Trankina, G., Wills, S. A., &amp; </w:t>
          </w:r>
          <w:proofErr w:type="spellStart"/>
          <w:r w:rsidRPr="00EB1D71">
            <w:rPr>
              <w:rFonts w:asciiTheme="minorHAnsi" w:eastAsia="Times New Roman" w:hAnsiTheme="minorHAnsi" w:cstheme="minorHAnsi"/>
              <w:color w:val="000000"/>
            </w:rPr>
            <w:t>Margenot</w:t>
          </w:r>
          <w:proofErr w:type="spellEnd"/>
          <w:r w:rsidRPr="00EB1D71">
            <w:rPr>
              <w:rFonts w:asciiTheme="minorHAnsi" w:eastAsia="Times New Roman" w:hAnsiTheme="minorHAnsi" w:cstheme="minorHAnsi"/>
              <w:color w:val="000000"/>
            </w:rPr>
            <w:t xml:space="preserve">, A. J. (2021). To standardize by mass of soil or organic carbon? A comparison of permanganate oxidizable carbon (POXC) assay methods. </w:t>
          </w:r>
          <w:proofErr w:type="spellStart"/>
          <w:r w:rsidRPr="00EB1D71">
            <w:rPr>
              <w:rFonts w:asciiTheme="minorHAnsi" w:eastAsia="Times New Roman" w:hAnsiTheme="minorHAnsi" w:cstheme="minorHAnsi"/>
              <w:i/>
              <w:iCs/>
              <w:color w:val="000000"/>
            </w:rPr>
            <w:t>Geoderma</w:t>
          </w:r>
          <w:proofErr w:type="spellEnd"/>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404</w:t>
          </w:r>
          <w:r w:rsidRPr="00EB1D71">
            <w:rPr>
              <w:rFonts w:asciiTheme="minorHAnsi" w:eastAsia="Times New Roman" w:hAnsiTheme="minorHAnsi" w:cstheme="minorHAnsi"/>
              <w:color w:val="000000"/>
            </w:rPr>
            <w:t>, 115392.</w:t>
          </w:r>
        </w:p>
        <w:p w14:paraId="36700AE4" w14:textId="6567E0A5" w:rsidR="00B404D1" w:rsidRPr="00D115D5" w:rsidRDefault="00B404D1" w:rsidP="00D115D5">
          <w:pPr>
            <w:autoSpaceDE w:val="0"/>
            <w:autoSpaceDN w:val="0"/>
            <w:spacing w:after="0"/>
            <w:ind w:left="454" w:right="-113" w:hanging="454"/>
            <w:rPr>
              <w:rFonts w:asciiTheme="minorHAnsi" w:eastAsia="Times New Roman" w:hAnsiTheme="minorHAnsi" w:cstheme="minorHAnsi"/>
              <w:color w:val="000000"/>
            </w:rPr>
          </w:pPr>
          <w:r w:rsidRPr="00EB1D71">
            <w:rPr>
              <w:rFonts w:asciiTheme="minorHAnsi" w:eastAsia="Times New Roman" w:hAnsiTheme="minorHAnsi" w:cstheme="minorHAnsi"/>
              <w:color w:val="000000"/>
            </w:rPr>
            <w:t xml:space="preserve">Woodings, F. S., &amp; </w:t>
          </w:r>
          <w:proofErr w:type="spellStart"/>
          <w:r w:rsidRPr="00EB1D71">
            <w:rPr>
              <w:rFonts w:asciiTheme="minorHAnsi" w:eastAsia="Times New Roman" w:hAnsiTheme="minorHAnsi" w:cstheme="minorHAnsi"/>
              <w:color w:val="000000"/>
            </w:rPr>
            <w:t>Margenot</w:t>
          </w:r>
          <w:proofErr w:type="spellEnd"/>
          <w:r w:rsidRPr="00EB1D71">
            <w:rPr>
              <w:rFonts w:asciiTheme="minorHAnsi" w:eastAsia="Times New Roman" w:hAnsiTheme="minorHAnsi" w:cstheme="minorHAnsi"/>
              <w:color w:val="000000"/>
            </w:rPr>
            <w:t xml:space="preserve">, A. J. (2023). Revisiting the permanganate oxidizable carbon (POXC) assay assumptions: POXC is lignin sensitive. </w:t>
          </w:r>
          <w:r w:rsidRPr="00EB1D71">
            <w:rPr>
              <w:rFonts w:asciiTheme="minorHAnsi" w:eastAsia="Times New Roman" w:hAnsiTheme="minorHAnsi" w:cstheme="minorHAnsi"/>
              <w:i/>
              <w:iCs/>
              <w:color w:val="000000"/>
            </w:rPr>
            <w:t>Agricultural and Environmental Letters</w:t>
          </w:r>
          <w:r w:rsidRPr="00EB1D71">
            <w:rPr>
              <w:rFonts w:asciiTheme="minorHAnsi" w:eastAsia="Times New Roman" w:hAnsiTheme="minorHAnsi" w:cstheme="minorHAnsi"/>
              <w:color w:val="000000"/>
            </w:rPr>
            <w:t xml:space="preserve">, </w:t>
          </w:r>
          <w:r w:rsidRPr="00EB1D71">
            <w:rPr>
              <w:rFonts w:asciiTheme="minorHAnsi" w:eastAsia="Times New Roman" w:hAnsiTheme="minorHAnsi" w:cstheme="minorHAnsi"/>
              <w:i/>
              <w:iCs/>
              <w:color w:val="000000"/>
            </w:rPr>
            <w:t>8</w:t>
          </w:r>
          <w:r w:rsidRPr="00EB1D71">
            <w:rPr>
              <w:rFonts w:asciiTheme="minorHAnsi" w:eastAsia="Times New Roman" w:hAnsiTheme="minorHAnsi" w:cstheme="minorHAnsi"/>
              <w:color w:val="000000"/>
            </w:rPr>
            <w:t>(1). https://doi.org/10.1002/ael2.20108</w:t>
          </w:r>
        </w:p>
      </w:sdtContent>
    </w:sdt>
    <w:p w14:paraId="0AF1EDA0" w14:textId="77777777" w:rsidR="00B404D1" w:rsidRPr="00EB1D71" w:rsidRDefault="00B404D1">
      <w:pPr>
        <w:spacing w:line="278" w:lineRule="auto"/>
        <w:rPr>
          <w:rFonts w:asciiTheme="minorHAnsi" w:hAnsiTheme="minorHAnsi" w:cstheme="minorHAnsi"/>
        </w:rPr>
      </w:pPr>
      <w:r w:rsidRPr="00EB1D71">
        <w:rPr>
          <w:rFonts w:asciiTheme="minorHAnsi" w:hAnsiTheme="minorHAnsi" w:cstheme="minorHAnsi"/>
        </w:rPr>
        <w:br w:type="page"/>
      </w:r>
    </w:p>
    <w:p w14:paraId="3D4BD6BB" w14:textId="77777777" w:rsidR="00B404D1" w:rsidRPr="00EB1D71" w:rsidRDefault="00B404D1" w:rsidP="00B404D1">
      <w:pPr>
        <w:pStyle w:val="Heading2"/>
        <w:rPr>
          <w:rFonts w:asciiTheme="minorHAnsi" w:hAnsiTheme="minorHAnsi" w:cstheme="minorHAnsi"/>
        </w:rPr>
      </w:pPr>
      <w:bookmarkStart w:id="114" w:name="_Toc228622103"/>
      <w:bookmarkStart w:id="115" w:name="_Toc234580976"/>
      <w:r w:rsidRPr="00EB1D71">
        <w:rPr>
          <w:rFonts w:asciiTheme="minorHAnsi" w:hAnsiTheme="minorHAnsi" w:cstheme="minorHAnsi"/>
        </w:rPr>
        <w:lastRenderedPageBreak/>
        <w:t>Appendices</w:t>
      </w:r>
      <w:bookmarkEnd w:id="114"/>
      <w:bookmarkEnd w:id="115"/>
    </w:p>
    <w:p w14:paraId="21799DA0" w14:textId="77777777" w:rsidR="00B404D1" w:rsidRPr="00AE2A6A" w:rsidRDefault="00B404D1" w:rsidP="00B404D1">
      <w:pPr>
        <w:pStyle w:val="Heading3"/>
        <w:rPr>
          <w:rFonts w:asciiTheme="minorHAnsi" w:hAnsiTheme="minorHAnsi" w:cstheme="minorHAnsi"/>
          <w:color w:val="006197" w:themeColor="text1" w:themeShade="BF"/>
        </w:rPr>
      </w:pPr>
      <w:bookmarkStart w:id="116" w:name="_Results_of_first"/>
      <w:bookmarkStart w:id="117" w:name="_Toc228622104"/>
      <w:bookmarkStart w:id="118" w:name="_Toc234580977"/>
      <w:bookmarkEnd w:id="116"/>
      <w:r w:rsidRPr="00AE2A6A">
        <w:rPr>
          <w:rFonts w:asciiTheme="minorHAnsi" w:hAnsiTheme="minorHAnsi" w:cstheme="minorHAnsi"/>
          <w:color w:val="006197" w:themeColor="text1" w:themeShade="BF"/>
        </w:rPr>
        <w:t>Results of first survey provided to Delphi respondents before completing the second survey</w:t>
      </w:r>
      <w:bookmarkEnd w:id="117"/>
      <w:bookmarkEnd w:id="118"/>
    </w:p>
    <w:p w14:paraId="51A0C6DC" w14:textId="77777777" w:rsidR="00B404D1" w:rsidRPr="00AE2A6A" w:rsidRDefault="00B404D1" w:rsidP="00B404D1">
      <w:pPr>
        <w:pStyle w:val="Heading4"/>
        <w:rPr>
          <w:rFonts w:asciiTheme="minorHAnsi" w:hAnsiTheme="minorHAnsi" w:cstheme="minorHAnsi"/>
          <w:color w:val="006197" w:themeColor="text1" w:themeShade="BF"/>
        </w:rPr>
      </w:pPr>
      <w:r w:rsidRPr="00AE2A6A">
        <w:rPr>
          <w:rFonts w:asciiTheme="minorHAnsi" w:hAnsiTheme="minorHAnsi" w:cstheme="minorHAnsi"/>
          <w:color w:val="006197" w:themeColor="text1" w:themeShade="BF"/>
        </w:rPr>
        <w:t>Early Indicators of Soil Health – Initial Survey Results Summary</w:t>
      </w:r>
    </w:p>
    <w:p w14:paraId="1FF9C78E" w14:textId="77777777" w:rsidR="00B404D1" w:rsidRPr="00EB1D71" w:rsidRDefault="00B404D1" w:rsidP="00AC7014">
      <w:pPr>
        <w:rPr>
          <w:rFonts w:asciiTheme="minorHAnsi" w:hAnsiTheme="minorHAnsi" w:cstheme="minorHAnsi"/>
        </w:rPr>
      </w:pPr>
      <w:r w:rsidRPr="00EB1D71">
        <w:rPr>
          <w:rFonts w:asciiTheme="minorHAnsi" w:hAnsiTheme="minorHAnsi" w:cstheme="minorHAnsi"/>
        </w:rPr>
        <w:t xml:space="preserve">Survey respondents were asked a series of questions to rate the selected shortlist of 10 potential early indicators of soil health across seven criteria. The criteria were: </w:t>
      </w:r>
    </w:p>
    <w:p w14:paraId="07F661E7" w14:textId="77777777" w:rsidR="00A156EC" w:rsidRPr="00EB1D71" w:rsidRDefault="00A156EC" w:rsidP="00A156EC">
      <w:pPr>
        <w:pStyle w:val="ListParagraph"/>
        <w:numPr>
          <w:ilvl w:val="0"/>
          <w:numId w:val="17"/>
        </w:numPr>
        <w:rPr>
          <w:rFonts w:asciiTheme="minorHAnsi" w:hAnsiTheme="minorHAnsi" w:cstheme="minorHAnsi"/>
        </w:rPr>
      </w:pPr>
      <w:r w:rsidRPr="00EB1D71">
        <w:rPr>
          <w:rFonts w:asciiTheme="minorHAnsi" w:hAnsiTheme="minorHAnsi" w:cstheme="minorHAnsi"/>
        </w:rPr>
        <w:t xml:space="preserve">Confidence that there is robust, UK relevant data (Data) </w:t>
      </w:r>
    </w:p>
    <w:p w14:paraId="472FCADF" w14:textId="77777777" w:rsidR="00A156EC" w:rsidRPr="00EB1D71" w:rsidRDefault="00A156EC" w:rsidP="00A156EC">
      <w:pPr>
        <w:pStyle w:val="ListParagraph"/>
        <w:numPr>
          <w:ilvl w:val="0"/>
          <w:numId w:val="17"/>
        </w:numPr>
        <w:rPr>
          <w:rFonts w:asciiTheme="minorHAnsi" w:hAnsiTheme="minorHAnsi" w:cstheme="minorHAnsi"/>
        </w:rPr>
      </w:pPr>
      <w:r w:rsidRPr="00EB1D71">
        <w:rPr>
          <w:rFonts w:asciiTheme="minorHAnsi" w:hAnsiTheme="minorHAnsi" w:cstheme="minorHAnsi"/>
        </w:rPr>
        <w:t xml:space="preserve">Cost to client for analysis (Expense) </w:t>
      </w:r>
    </w:p>
    <w:p w14:paraId="730638B2" w14:textId="77777777" w:rsidR="00A156EC" w:rsidRPr="00EB1D71" w:rsidRDefault="00A156EC" w:rsidP="00A156EC">
      <w:pPr>
        <w:pStyle w:val="ListParagraph"/>
        <w:numPr>
          <w:ilvl w:val="0"/>
          <w:numId w:val="17"/>
        </w:numPr>
        <w:rPr>
          <w:rFonts w:asciiTheme="minorHAnsi" w:hAnsiTheme="minorHAnsi" w:cstheme="minorHAnsi"/>
        </w:rPr>
      </w:pPr>
      <w:r w:rsidRPr="00EB1D71">
        <w:rPr>
          <w:rFonts w:asciiTheme="minorHAnsi" w:hAnsiTheme="minorHAnsi" w:cstheme="minorHAnsi"/>
        </w:rPr>
        <w:t>Confidence that changes in the indicator will show a change in soil health (Health)</w:t>
      </w:r>
    </w:p>
    <w:p w14:paraId="7EDBEBBB" w14:textId="507FAD36" w:rsidR="00A156EC" w:rsidRPr="00EB1D71" w:rsidRDefault="00A156EC" w:rsidP="00A156EC">
      <w:pPr>
        <w:pStyle w:val="ListParagraph"/>
        <w:numPr>
          <w:ilvl w:val="0"/>
          <w:numId w:val="17"/>
        </w:numPr>
        <w:rPr>
          <w:rFonts w:asciiTheme="minorHAnsi" w:hAnsiTheme="minorHAnsi" w:cstheme="minorHAnsi"/>
        </w:rPr>
      </w:pPr>
      <w:r w:rsidRPr="00EB1D71">
        <w:rPr>
          <w:rFonts w:asciiTheme="minorHAnsi" w:hAnsiTheme="minorHAnsi" w:cstheme="minorHAnsi"/>
        </w:rPr>
        <w:t xml:space="preserve">Samples required to represent an area (Samples) </w:t>
      </w:r>
    </w:p>
    <w:p w14:paraId="4C696010" w14:textId="77777777" w:rsidR="00B404D1" w:rsidRPr="00EB1D71" w:rsidRDefault="00B404D1" w:rsidP="00AC7014">
      <w:pPr>
        <w:pStyle w:val="ListParagraph"/>
        <w:numPr>
          <w:ilvl w:val="0"/>
          <w:numId w:val="17"/>
        </w:numPr>
        <w:rPr>
          <w:rFonts w:asciiTheme="minorHAnsi" w:hAnsiTheme="minorHAnsi" w:cstheme="minorHAnsi"/>
        </w:rPr>
      </w:pPr>
      <w:r w:rsidRPr="00EB1D71">
        <w:rPr>
          <w:rFonts w:asciiTheme="minorHAnsi" w:hAnsiTheme="minorHAnsi" w:cstheme="minorHAnsi"/>
        </w:rPr>
        <w:t>Confidence in indicator sensitivity to management change (Sensitivity)</w:t>
      </w:r>
    </w:p>
    <w:p w14:paraId="5D638B98" w14:textId="77777777" w:rsidR="00A156EC" w:rsidRPr="00EB1D71" w:rsidRDefault="00A156EC" w:rsidP="00A156EC">
      <w:pPr>
        <w:pStyle w:val="ListParagraph"/>
        <w:numPr>
          <w:ilvl w:val="0"/>
          <w:numId w:val="17"/>
        </w:numPr>
        <w:rPr>
          <w:rFonts w:asciiTheme="minorHAnsi" w:hAnsiTheme="minorHAnsi" w:cstheme="minorHAnsi"/>
        </w:rPr>
      </w:pPr>
      <w:r w:rsidRPr="00EB1D71">
        <w:rPr>
          <w:rFonts w:asciiTheme="minorHAnsi" w:hAnsiTheme="minorHAnsi" w:cstheme="minorHAnsi"/>
        </w:rPr>
        <w:t xml:space="preserve">Confidence that the indicator results are useful to farmers (Utility) </w:t>
      </w:r>
    </w:p>
    <w:p w14:paraId="0A98D047" w14:textId="77777777" w:rsidR="00B404D1" w:rsidRPr="00EB1D71" w:rsidRDefault="00B404D1" w:rsidP="00AC7014">
      <w:pPr>
        <w:pStyle w:val="ListParagraph"/>
        <w:numPr>
          <w:ilvl w:val="0"/>
          <w:numId w:val="17"/>
        </w:numPr>
        <w:rPr>
          <w:rFonts w:asciiTheme="minorHAnsi" w:hAnsiTheme="minorHAnsi" w:cstheme="minorHAnsi"/>
        </w:rPr>
      </w:pPr>
      <w:r w:rsidRPr="00EB1D71">
        <w:rPr>
          <w:rFonts w:asciiTheme="minorHAnsi" w:hAnsiTheme="minorHAnsi" w:cstheme="minorHAnsi"/>
        </w:rPr>
        <w:t xml:space="preserve">Spatial variability associated with this indicator (Spatial) </w:t>
      </w:r>
    </w:p>
    <w:p w14:paraId="2BB35820" w14:textId="77777777" w:rsidR="00B404D1" w:rsidRPr="00EB1D71" w:rsidRDefault="00B404D1" w:rsidP="00AC7014">
      <w:pPr>
        <w:rPr>
          <w:rFonts w:asciiTheme="minorHAnsi" w:hAnsiTheme="minorHAnsi" w:cstheme="minorHAnsi"/>
        </w:rPr>
      </w:pPr>
      <w:r w:rsidRPr="00EB1D71">
        <w:rPr>
          <w:rFonts w:asciiTheme="minorHAnsi" w:hAnsiTheme="minorHAnsi" w:cstheme="minorHAnsi"/>
        </w:rPr>
        <w:t xml:space="preserve">Responses were mapped numerically, where a high number was assigned to a positive response (i.e. “Very confident” that changes in the indicator will show a soil health change). Total scores for each indicator across the criteria were used to compile the initial ranking, with equal weighting assigned to each criterion. Spatial variability was excluded from the initial ranking as it was not practical to assign a positive or negative response to this criterion. </w:t>
      </w:r>
    </w:p>
    <w:p w14:paraId="2DAA7775" w14:textId="37ED2A87" w:rsidR="009A568B" w:rsidRPr="00EB1D71" w:rsidRDefault="009A568B" w:rsidP="009A568B">
      <w:pPr>
        <w:pStyle w:val="Caption"/>
        <w:keepNext/>
        <w:rPr>
          <w:rFonts w:asciiTheme="minorHAnsi" w:hAnsiTheme="minorHAnsi" w:cstheme="minorHAnsi"/>
        </w:rPr>
      </w:pPr>
      <w:bookmarkStart w:id="119" w:name="_Ref229662136"/>
      <w:r w:rsidRPr="00EB1D71">
        <w:rPr>
          <w:rFonts w:asciiTheme="minorHAnsi" w:hAnsiTheme="minorHAnsi" w:cstheme="minorHAnsi"/>
        </w:rPr>
        <w:t xml:space="preserve">Table </w:t>
      </w:r>
      <w:r w:rsidRPr="00EB1D71">
        <w:rPr>
          <w:rFonts w:asciiTheme="minorHAnsi" w:hAnsiTheme="minorHAnsi" w:cstheme="minorHAnsi"/>
        </w:rPr>
        <w:fldChar w:fldCharType="begin"/>
      </w:r>
      <w:r w:rsidRPr="00EB1D71">
        <w:rPr>
          <w:rFonts w:asciiTheme="minorHAnsi" w:hAnsiTheme="minorHAnsi" w:cstheme="minorHAnsi"/>
        </w:rPr>
        <w:instrText xml:space="preserve"> SEQ Table \* ARABIC </w:instrText>
      </w:r>
      <w:r w:rsidRPr="00EB1D71">
        <w:rPr>
          <w:rFonts w:asciiTheme="minorHAnsi" w:hAnsiTheme="minorHAnsi" w:cstheme="minorHAnsi"/>
        </w:rPr>
        <w:fldChar w:fldCharType="separate"/>
      </w:r>
      <w:r w:rsidR="00C400DA">
        <w:rPr>
          <w:rFonts w:asciiTheme="minorHAnsi" w:hAnsiTheme="minorHAnsi" w:cstheme="minorHAnsi"/>
          <w:noProof/>
        </w:rPr>
        <w:t>18</w:t>
      </w:r>
      <w:r w:rsidRPr="00EB1D71">
        <w:rPr>
          <w:rFonts w:asciiTheme="minorHAnsi" w:hAnsiTheme="minorHAnsi" w:cstheme="minorHAnsi"/>
          <w:noProof/>
        </w:rPr>
        <w:fldChar w:fldCharType="end"/>
      </w:r>
      <w:bookmarkEnd w:id="119"/>
      <w:r w:rsidRPr="00EB1D71">
        <w:rPr>
          <w:rFonts w:asciiTheme="minorHAnsi" w:hAnsiTheme="minorHAnsi" w:cstheme="minorHAnsi"/>
        </w:rPr>
        <w:t>. Initial ranking of indicators from results of first survey responses (n = 6)</w:t>
      </w:r>
    </w:p>
    <w:tbl>
      <w:tblPr>
        <w:tblStyle w:val="Style1"/>
        <w:tblW w:w="9209" w:type="dxa"/>
        <w:tblLayout w:type="fixed"/>
        <w:tblLook w:val="04A0" w:firstRow="1" w:lastRow="0" w:firstColumn="1" w:lastColumn="0" w:noHBand="0" w:noVBand="1"/>
      </w:tblPr>
      <w:tblGrid>
        <w:gridCol w:w="4604"/>
        <w:gridCol w:w="4605"/>
      </w:tblGrid>
      <w:tr w:rsidR="00B404D1" w:rsidRPr="00EB1D71" w14:paraId="69F7880C" w14:textId="77777777" w:rsidTr="00CD7DA1">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604" w:type="dxa"/>
            <w:noWrap/>
            <w:hideMark/>
          </w:tcPr>
          <w:p w14:paraId="58B6EC23" w14:textId="77777777" w:rsidR="00B404D1" w:rsidRPr="00EB1D71" w:rsidRDefault="00B404D1" w:rsidP="00C4041A">
            <w:pPr>
              <w:rPr>
                <w:rFonts w:asciiTheme="minorHAnsi" w:eastAsia="Times New Roman" w:hAnsiTheme="minorHAnsi" w:cstheme="minorHAnsi"/>
                <w:lang w:eastAsia="en-GB"/>
              </w:rPr>
            </w:pPr>
            <w:r w:rsidRPr="00EB1D71">
              <w:rPr>
                <w:rFonts w:asciiTheme="minorHAnsi" w:eastAsia="Times New Roman" w:hAnsiTheme="minorHAnsi" w:cstheme="minorHAnsi"/>
                <w:lang w:eastAsia="en-GB"/>
              </w:rPr>
              <w:t>Indicator</w:t>
            </w:r>
          </w:p>
        </w:tc>
        <w:tc>
          <w:tcPr>
            <w:tcW w:w="4605" w:type="dxa"/>
            <w:noWrap/>
            <w:hideMark/>
          </w:tcPr>
          <w:p w14:paraId="7C8DE0D7" w14:textId="77777777" w:rsidR="00B404D1" w:rsidRPr="00EB1D71" w:rsidRDefault="00B404D1" w:rsidP="00C4041A">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GB"/>
              </w:rPr>
            </w:pPr>
            <w:r w:rsidRPr="00EB1D71">
              <w:rPr>
                <w:rFonts w:asciiTheme="minorHAnsi" w:eastAsia="Times New Roman" w:hAnsiTheme="minorHAnsi" w:cstheme="minorHAnsi"/>
                <w:lang w:eastAsia="en-GB"/>
              </w:rPr>
              <w:t>Preliminary Rank</w:t>
            </w:r>
          </w:p>
        </w:tc>
      </w:tr>
      <w:tr w:rsidR="00B404D1" w:rsidRPr="00EB1D71" w14:paraId="24FAC4ED" w14:textId="77777777" w:rsidTr="00CD7DA1">
        <w:trPr>
          <w:trHeight w:val="291"/>
        </w:trPr>
        <w:tc>
          <w:tcPr>
            <w:cnfStyle w:val="001000000000" w:firstRow="0" w:lastRow="0" w:firstColumn="1" w:lastColumn="0" w:oddVBand="0" w:evenVBand="0" w:oddHBand="0" w:evenHBand="0" w:firstRowFirstColumn="0" w:firstRowLastColumn="0" w:lastRowFirstColumn="0" w:lastRowLastColumn="0"/>
            <w:tcW w:w="4604" w:type="dxa"/>
            <w:noWrap/>
            <w:hideMark/>
          </w:tcPr>
          <w:p w14:paraId="582B1C95" w14:textId="77777777" w:rsidR="00B404D1" w:rsidRPr="00EB1D71" w:rsidRDefault="00B404D1" w:rsidP="00C4041A">
            <w:pPr>
              <w:rPr>
                <w:rFonts w:asciiTheme="minorHAnsi" w:eastAsia="Times New Roman" w:hAnsiTheme="minorHAnsi" w:cstheme="minorHAnsi"/>
                <w:color w:val="000000"/>
                <w:lang w:eastAsia="en-GB"/>
              </w:rPr>
            </w:pPr>
            <w:r w:rsidRPr="00EB1D71">
              <w:rPr>
                <w:rFonts w:asciiTheme="minorHAnsi" w:eastAsia="Times New Roman" w:hAnsiTheme="minorHAnsi" w:cstheme="minorHAnsi"/>
                <w:b w:val="0"/>
                <w:color w:val="000000"/>
                <w:lang w:eastAsia="en-GB"/>
              </w:rPr>
              <w:t>Earthworms</w:t>
            </w:r>
          </w:p>
        </w:tc>
        <w:tc>
          <w:tcPr>
            <w:tcW w:w="4605" w:type="dxa"/>
            <w:noWrap/>
            <w:hideMark/>
          </w:tcPr>
          <w:p w14:paraId="08F4735F" w14:textId="77777777" w:rsidR="00B404D1" w:rsidRPr="00EB1D71" w:rsidRDefault="00B404D1" w:rsidP="00661E94">
            <w:pPr>
              <w:pStyle w:val="Table-Body-centr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1</w:t>
            </w:r>
          </w:p>
        </w:tc>
      </w:tr>
      <w:tr w:rsidR="00B404D1" w:rsidRPr="00EB1D71" w14:paraId="0201BC43" w14:textId="77777777" w:rsidTr="00CD7DA1">
        <w:trPr>
          <w:trHeight w:val="291"/>
        </w:trPr>
        <w:tc>
          <w:tcPr>
            <w:cnfStyle w:val="001000000000" w:firstRow="0" w:lastRow="0" w:firstColumn="1" w:lastColumn="0" w:oddVBand="0" w:evenVBand="0" w:oddHBand="0" w:evenHBand="0" w:firstRowFirstColumn="0" w:firstRowLastColumn="0" w:lastRowFirstColumn="0" w:lastRowLastColumn="0"/>
            <w:tcW w:w="4604" w:type="dxa"/>
            <w:noWrap/>
            <w:hideMark/>
          </w:tcPr>
          <w:p w14:paraId="43618187" w14:textId="77777777" w:rsidR="00B404D1" w:rsidRPr="00EB1D71" w:rsidRDefault="00B404D1" w:rsidP="00C4041A">
            <w:pPr>
              <w:rPr>
                <w:rFonts w:asciiTheme="minorHAnsi" w:eastAsia="Times New Roman" w:hAnsiTheme="minorHAnsi" w:cstheme="minorHAnsi"/>
                <w:color w:val="000000"/>
                <w:lang w:eastAsia="en-GB"/>
              </w:rPr>
            </w:pPr>
            <w:r w:rsidRPr="00EB1D71">
              <w:rPr>
                <w:rFonts w:asciiTheme="minorHAnsi" w:eastAsia="Times New Roman" w:hAnsiTheme="minorHAnsi" w:cstheme="minorHAnsi"/>
                <w:b w:val="0"/>
                <w:color w:val="000000"/>
                <w:lang w:eastAsia="en-GB"/>
              </w:rPr>
              <w:t>PMN</w:t>
            </w:r>
          </w:p>
        </w:tc>
        <w:tc>
          <w:tcPr>
            <w:tcW w:w="4605" w:type="dxa"/>
            <w:noWrap/>
            <w:hideMark/>
          </w:tcPr>
          <w:p w14:paraId="0EB2F22F" w14:textId="77777777" w:rsidR="00B404D1" w:rsidRPr="00EB1D71" w:rsidRDefault="00B404D1" w:rsidP="00661E94">
            <w:pPr>
              <w:pStyle w:val="Table-Body-centr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2</w:t>
            </w:r>
          </w:p>
        </w:tc>
      </w:tr>
      <w:tr w:rsidR="00B404D1" w:rsidRPr="00EB1D71" w14:paraId="17812AB0" w14:textId="77777777" w:rsidTr="00CD7DA1">
        <w:trPr>
          <w:trHeight w:val="291"/>
        </w:trPr>
        <w:tc>
          <w:tcPr>
            <w:cnfStyle w:val="001000000000" w:firstRow="0" w:lastRow="0" w:firstColumn="1" w:lastColumn="0" w:oddVBand="0" w:evenVBand="0" w:oddHBand="0" w:evenHBand="0" w:firstRowFirstColumn="0" w:firstRowLastColumn="0" w:lastRowFirstColumn="0" w:lastRowLastColumn="0"/>
            <w:tcW w:w="4604" w:type="dxa"/>
            <w:noWrap/>
          </w:tcPr>
          <w:p w14:paraId="179FF8E2" w14:textId="77777777" w:rsidR="00B404D1" w:rsidRPr="00EB1D71" w:rsidRDefault="00B404D1" w:rsidP="00C4041A">
            <w:pPr>
              <w:rPr>
                <w:rFonts w:asciiTheme="minorHAnsi" w:eastAsia="Times New Roman" w:hAnsiTheme="minorHAnsi" w:cstheme="minorHAnsi"/>
                <w:color w:val="000000"/>
                <w:lang w:eastAsia="en-GB"/>
              </w:rPr>
            </w:pPr>
            <w:r w:rsidRPr="00EB1D71">
              <w:rPr>
                <w:rFonts w:asciiTheme="minorHAnsi" w:eastAsia="Times New Roman" w:hAnsiTheme="minorHAnsi" w:cstheme="minorHAnsi"/>
                <w:b w:val="0"/>
                <w:color w:val="000000"/>
                <w:lang w:eastAsia="en-GB"/>
              </w:rPr>
              <w:t>Crop Rooting</w:t>
            </w:r>
          </w:p>
        </w:tc>
        <w:tc>
          <w:tcPr>
            <w:tcW w:w="4605" w:type="dxa"/>
            <w:noWrap/>
          </w:tcPr>
          <w:p w14:paraId="6F1BC5D3" w14:textId="77777777" w:rsidR="00B404D1" w:rsidRPr="00EB1D71" w:rsidRDefault="00B404D1" w:rsidP="00661E94">
            <w:pPr>
              <w:pStyle w:val="Table-Body-centr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w:t>
            </w:r>
          </w:p>
        </w:tc>
      </w:tr>
      <w:tr w:rsidR="00B404D1" w:rsidRPr="00EB1D71" w14:paraId="679278AA" w14:textId="77777777" w:rsidTr="00CD7DA1">
        <w:trPr>
          <w:trHeight w:val="291"/>
        </w:trPr>
        <w:tc>
          <w:tcPr>
            <w:cnfStyle w:val="001000000000" w:firstRow="0" w:lastRow="0" w:firstColumn="1" w:lastColumn="0" w:oddVBand="0" w:evenVBand="0" w:oddHBand="0" w:evenHBand="0" w:firstRowFirstColumn="0" w:firstRowLastColumn="0" w:lastRowFirstColumn="0" w:lastRowLastColumn="0"/>
            <w:tcW w:w="4604" w:type="dxa"/>
            <w:noWrap/>
            <w:hideMark/>
          </w:tcPr>
          <w:p w14:paraId="514F5F4E" w14:textId="77777777" w:rsidR="00B404D1" w:rsidRPr="00EB1D71" w:rsidRDefault="00B404D1" w:rsidP="00C4041A">
            <w:pPr>
              <w:rPr>
                <w:rFonts w:asciiTheme="minorHAnsi" w:eastAsia="Times New Roman" w:hAnsiTheme="minorHAnsi" w:cstheme="minorHAnsi"/>
                <w:color w:val="000000"/>
                <w:lang w:eastAsia="en-GB"/>
              </w:rPr>
            </w:pPr>
            <w:r w:rsidRPr="00EB1D71">
              <w:rPr>
                <w:rFonts w:asciiTheme="minorHAnsi" w:eastAsia="Times New Roman" w:hAnsiTheme="minorHAnsi" w:cstheme="minorHAnsi"/>
                <w:b w:val="0"/>
                <w:color w:val="000000"/>
                <w:lang w:eastAsia="en-GB"/>
              </w:rPr>
              <w:t>CO</w:t>
            </w:r>
            <w:r w:rsidRPr="00EB1D71">
              <w:rPr>
                <w:rFonts w:asciiTheme="minorHAnsi" w:eastAsia="Times New Roman" w:hAnsiTheme="minorHAnsi" w:cstheme="minorHAnsi"/>
                <w:b w:val="0"/>
                <w:color w:val="000000"/>
                <w:vertAlign w:val="subscript"/>
                <w:lang w:eastAsia="en-GB"/>
              </w:rPr>
              <w:t>2</w:t>
            </w:r>
            <w:r w:rsidRPr="00EB1D71">
              <w:rPr>
                <w:rFonts w:asciiTheme="minorHAnsi" w:eastAsia="Times New Roman" w:hAnsiTheme="minorHAnsi" w:cstheme="minorHAnsi"/>
                <w:b w:val="0"/>
                <w:color w:val="000000"/>
                <w:lang w:eastAsia="en-GB"/>
              </w:rPr>
              <w:t xml:space="preserve"> Burst</w:t>
            </w:r>
          </w:p>
        </w:tc>
        <w:tc>
          <w:tcPr>
            <w:tcW w:w="4605" w:type="dxa"/>
            <w:noWrap/>
            <w:hideMark/>
          </w:tcPr>
          <w:p w14:paraId="6D08041B" w14:textId="77777777" w:rsidR="00B404D1" w:rsidRPr="00EB1D71" w:rsidRDefault="00B404D1" w:rsidP="00661E94">
            <w:pPr>
              <w:pStyle w:val="Table-Body-centr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w:t>
            </w:r>
          </w:p>
        </w:tc>
      </w:tr>
      <w:tr w:rsidR="00B404D1" w:rsidRPr="00EB1D71" w14:paraId="2194C9AE" w14:textId="77777777" w:rsidTr="00CD7DA1">
        <w:trPr>
          <w:trHeight w:val="291"/>
        </w:trPr>
        <w:tc>
          <w:tcPr>
            <w:cnfStyle w:val="001000000000" w:firstRow="0" w:lastRow="0" w:firstColumn="1" w:lastColumn="0" w:oddVBand="0" w:evenVBand="0" w:oddHBand="0" w:evenHBand="0" w:firstRowFirstColumn="0" w:firstRowLastColumn="0" w:lastRowFirstColumn="0" w:lastRowLastColumn="0"/>
            <w:tcW w:w="4604" w:type="dxa"/>
            <w:noWrap/>
            <w:hideMark/>
          </w:tcPr>
          <w:p w14:paraId="792C1182" w14:textId="77777777" w:rsidR="00B404D1" w:rsidRPr="00EB1D71" w:rsidRDefault="00B404D1" w:rsidP="00C4041A">
            <w:pPr>
              <w:rPr>
                <w:rFonts w:asciiTheme="minorHAnsi" w:eastAsia="Times New Roman" w:hAnsiTheme="minorHAnsi" w:cstheme="minorHAnsi"/>
                <w:color w:val="000000"/>
                <w:lang w:eastAsia="en-GB"/>
              </w:rPr>
            </w:pPr>
            <w:r w:rsidRPr="00EB1D71">
              <w:rPr>
                <w:rFonts w:asciiTheme="minorHAnsi" w:eastAsia="Times New Roman" w:hAnsiTheme="minorHAnsi" w:cstheme="minorHAnsi"/>
                <w:b w:val="0"/>
                <w:color w:val="000000"/>
                <w:lang w:eastAsia="en-GB"/>
              </w:rPr>
              <w:t>Water Stable Aggregates</w:t>
            </w:r>
          </w:p>
        </w:tc>
        <w:tc>
          <w:tcPr>
            <w:tcW w:w="4605" w:type="dxa"/>
            <w:noWrap/>
            <w:hideMark/>
          </w:tcPr>
          <w:p w14:paraId="2AA89CD1" w14:textId="77777777" w:rsidR="00B404D1" w:rsidRPr="00EB1D71" w:rsidRDefault="00B404D1" w:rsidP="00661E94">
            <w:pPr>
              <w:pStyle w:val="Table-Body-centr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5</w:t>
            </w:r>
          </w:p>
        </w:tc>
      </w:tr>
      <w:tr w:rsidR="00B404D1" w:rsidRPr="00EB1D71" w14:paraId="6127AC4E" w14:textId="77777777" w:rsidTr="00CD7DA1">
        <w:trPr>
          <w:trHeight w:val="291"/>
        </w:trPr>
        <w:tc>
          <w:tcPr>
            <w:cnfStyle w:val="001000000000" w:firstRow="0" w:lastRow="0" w:firstColumn="1" w:lastColumn="0" w:oddVBand="0" w:evenVBand="0" w:oddHBand="0" w:evenHBand="0" w:firstRowFirstColumn="0" w:firstRowLastColumn="0" w:lastRowFirstColumn="0" w:lastRowLastColumn="0"/>
            <w:tcW w:w="4604" w:type="dxa"/>
            <w:noWrap/>
            <w:hideMark/>
          </w:tcPr>
          <w:p w14:paraId="6409E430" w14:textId="77777777" w:rsidR="00B404D1" w:rsidRPr="00EB1D71" w:rsidRDefault="00B404D1" w:rsidP="00C4041A">
            <w:pPr>
              <w:rPr>
                <w:rFonts w:asciiTheme="minorHAnsi" w:eastAsia="Times New Roman" w:hAnsiTheme="minorHAnsi" w:cstheme="minorHAnsi"/>
                <w:color w:val="000000"/>
                <w:lang w:eastAsia="en-GB"/>
              </w:rPr>
            </w:pPr>
            <w:r w:rsidRPr="00EB1D71">
              <w:rPr>
                <w:rFonts w:asciiTheme="minorHAnsi" w:eastAsia="Times New Roman" w:hAnsiTheme="minorHAnsi" w:cstheme="minorHAnsi"/>
                <w:b w:val="0"/>
                <w:color w:val="000000"/>
                <w:lang w:eastAsia="en-GB"/>
              </w:rPr>
              <w:t>Soil C Fractions</w:t>
            </w:r>
          </w:p>
        </w:tc>
        <w:tc>
          <w:tcPr>
            <w:tcW w:w="4605" w:type="dxa"/>
            <w:noWrap/>
            <w:hideMark/>
          </w:tcPr>
          <w:p w14:paraId="6A83E651" w14:textId="77777777" w:rsidR="00B404D1" w:rsidRPr="00EB1D71" w:rsidRDefault="00B404D1" w:rsidP="00661E94">
            <w:pPr>
              <w:pStyle w:val="Table-Body-centr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6</w:t>
            </w:r>
          </w:p>
        </w:tc>
      </w:tr>
      <w:tr w:rsidR="00B404D1" w:rsidRPr="00EB1D71" w14:paraId="48423D59" w14:textId="77777777" w:rsidTr="00CD7DA1">
        <w:trPr>
          <w:trHeight w:val="291"/>
        </w:trPr>
        <w:tc>
          <w:tcPr>
            <w:cnfStyle w:val="001000000000" w:firstRow="0" w:lastRow="0" w:firstColumn="1" w:lastColumn="0" w:oddVBand="0" w:evenVBand="0" w:oddHBand="0" w:evenHBand="0" w:firstRowFirstColumn="0" w:firstRowLastColumn="0" w:lastRowFirstColumn="0" w:lastRowLastColumn="0"/>
            <w:tcW w:w="4604" w:type="dxa"/>
            <w:noWrap/>
            <w:hideMark/>
          </w:tcPr>
          <w:p w14:paraId="4A0A2858" w14:textId="77777777" w:rsidR="00B404D1" w:rsidRPr="00EB1D71" w:rsidRDefault="00B404D1" w:rsidP="00C4041A">
            <w:pPr>
              <w:rPr>
                <w:rFonts w:asciiTheme="minorHAnsi" w:eastAsia="Times New Roman" w:hAnsiTheme="minorHAnsi" w:cstheme="minorHAnsi"/>
                <w:color w:val="000000"/>
                <w:lang w:eastAsia="en-GB"/>
              </w:rPr>
            </w:pPr>
            <w:r w:rsidRPr="00EB1D71">
              <w:rPr>
                <w:rFonts w:asciiTheme="minorHAnsi" w:eastAsia="Times New Roman" w:hAnsiTheme="minorHAnsi" w:cstheme="minorHAnsi"/>
                <w:b w:val="0"/>
                <w:color w:val="000000"/>
                <w:lang w:eastAsia="en-GB"/>
              </w:rPr>
              <w:t>Functional genes (qPCR)</w:t>
            </w:r>
          </w:p>
        </w:tc>
        <w:tc>
          <w:tcPr>
            <w:tcW w:w="4605" w:type="dxa"/>
            <w:noWrap/>
            <w:hideMark/>
          </w:tcPr>
          <w:p w14:paraId="02BA830D" w14:textId="77777777" w:rsidR="00B404D1" w:rsidRPr="00EB1D71" w:rsidRDefault="00B404D1" w:rsidP="00661E94">
            <w:pPr>
              <w:pStyle w:val="Table-Body-centr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7</w:t>
            </w:r>
          </w:p>
        </w:tc>
      </w:tr>
      <w:tr w:rsidR="00B404D1" w:rsidRPr="00EB1D71" w14:paraId="5E5C5E4C" w14:textId="77777777" w:rsidTr="00CD7DA1">
        <w:trPr>
          <w:trHeight w:val="291"/>
        </w:trPr>
        <w:tc>
          <w:tcPr>
            <w:cnfStyle w:val="001000000000" w:firstRow="0" w:lastRow="0" w:firstColumn="1" w:lastColumn="0" w:oddVBand="0" w:evenVBand="0" w:oddHBand="0" w:evenHBand="0" w:firstRowFirstColumn="0" w:firstRowLastColumn="0" w:lastRowFirstColumn="0" w:lastRowLastColumn="0"/>
            <w:tcW w:w="4604" w:type="dxa"/>
            <w:noWrap/>
            <w:hideMark/>
          </w:tcPr>
          <w:p w14:paraId="30385EF2" w14:textId="77777777" w:rsidR="00B404D1" w:rsidRPr="00EB1D71" w:rsidRDefault="00B404D1" w:rsidP="00C4041A">
            <w:pPr>
              <w:rPr>
                <w:rFonts w:asciiTheme="minorHAnsi" w:eastAsia="Times New Roman" w:hAnsiTheme="minorHAnsi" w:cstheme="minorHAnsi"/>
                <w:color w:val="000000"/>
                <w:lang w:eastAsia="en-GB"/>
              </w:rPr>
            </w:pPr>
            <w:r w:rsidRPr="00EB1D71">
              <w:rPr>
                <w:rFonts w:asciiTheme="minorHAnsi" w:eastAsia="Times New Roman" w:hAnsiTheme="minorHAnsi" w:cstheme="minorHAnsi"/>
                <w:b w:val="0"/>
                <w:color w:val="000000"/>
                <w:lang w:eastAsia="en-GB"/>
              </w:rPr>
              <w:t xml:space="preserve">Soil </w:t>
            </w:r>
            <w:proofErr w:type="spellStart"/>
            <w:r w:rsidRPr="00EB1D71">
              <w:rPr>
                <w:rFonts w:asciiTheme="minorHAnsi" w:eastAsia="Times New Roman" w:hAnsiTheme="minorHAnsi" w:cstheme="minorHAnsi"/>
                <w:b w:val="0"/>
                <w:color w:val="000000"/>
                <w:lang w:eastAsia="en-GB"/>
              </w:rPr>
              <w:t>Foodweb</w:t>
            </w:r>
            <w:proofErr w:type="spellEnd"/>
          </w:p>
        </w:tc>
        <w:tc>
          <w:tcPr>
            <w:tcW w:w="4605" w:type="dxa"/>
            <w:noWrap/>
            <w:hideMark/>
          </w:tcPr>
          <w:p w14:paraId="7D9F2BB3" w14:textId="77777777" w:rsidR="00B404D1" w:rsidRPr="00EB1D71" w:rsidRDefault="00B404D1" w:rsidP="00661E94">
            <w:pPr>
              <w:pStyle w:val="Table-Body-centr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8</w:t>
            </w:r>
          </w:p>
        </w:tc>
      </w:tr>
      <w:tr w:rsidR="00B404D1" w:rsidRPr="00EB1D71" w14:paraId="52D5A2B5" w14:textId="77777777" w:rsidTr="00CD7DA1">
        <w:trPr>
          <w:trHeight w:val="291"/>
        </w:trPr>
        <w:tc>
          <w:tcPr>
            <w:cnfStyle w:val="001000000000" w:firstRow="0" w:lastRow="0" w:firstColumn="1" w:lastColumn="0" w:oddVBand="0" w:evenVBand="0" w:oddHBand="0" w:evenHBand="0" w:firstRowFirstColumn="0" w:firstRowLastColumn="0" w:lastRowFirstColumn="0" w:lastRowLastColumn="0"/>
            <w:tcW w:w="4604" w:type="dxa"/>
            <w:noWrap/>
            <w:hideMark/>
          </w:tcPr>
          <w:p w14:paraId="189A7595" w14:textId="77777777" w:rsidR="00B404D1" w:rsidRPr="00EB1D71" w:rsidRDefault="00B404D1" w:rsidP="00C4041A">
            <w:pPr>
              <w:rPr>
                <w:rFonts w:asciiTheme="minorHAnsi" w:eastAsia="Times New Roman" w:hAnsiTheme="minorHAnsi" w:cstheme="minorHAnsi"/>
                <w:color w:val="000000"/>
                <w:lang w:eastAsia="en-GB"/>
              </w:rPr>
            </w:pPr>
            <w:r w:rsidRPr="00EB1D71">
              <w:rPr>
                <w:rFonts w:asciiTheme="minorHAnsi" w:eastAsia="Times New Roman" w:hAnsiTheme="minorHAnsi" w:cstheme="minorHAnsi"/>
                <w:b w:val="0"/>
                <w:color w:val="000000"/>
                <w:lang w:eastAsia="en-GB"/>
              </w:rPr>
              <w:t>Enzymes</w:t>
            </w:r>
          </w:p>
        </w:tc>
        <w:tc>
          <w:tcPr>
            <w:tcW w:w="4605" w:type="dxa"/>
            <w:noWrap/>
            <w:hideMark/>
          </w:tcPr>
          <w:p w14:paraId="789DA526" w14:textId="77777777" w:rsidR="00B404D1" w:rsidRPr="00EB1D71" w:rsidRDefault="00B404D1" w:rsidP="00661E94">
            <w:pPr>
              <w:pStyle w:val="Table-Body-centr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9</w:t>
            </w:r>
          </w:p>
        </w:tc>
      </w:tr>
      <w:tr w:rsidR="00B404D1" w:rsidRPr="00EB1D71" w14:paraId="2F6E23B8" w14:textId="77777777" w:rsidTr="00CD7DA1">
        <w:trPr>
          <w:trHeight w:val="291"/>
        </w:trPr>
        <w:tc>
          <w:tcPr>
            <w:cnfStyle w:val="001000000000" w:firstRow="0" w:lastRow="0" w:firstColumn="1" w:lastColumn="0" w:oddVBand="0" w:evenVBand="0" w:oddHBand="0" w:evenHBand="0" w:firstRowFirstColumn="0" w:firstRowLastColumn="0" w:lastRowFirstColumn="0" w:lastRowLastColumn="0"/>
            <w:tcW w:w="4604" w:type="dxa"/>
            <w:noWrap/>
            <w:hideMark/>
          </w:tcPr>
          <w:p w14:paraId="68CFD5FD" w14:textId="77777777" w:rsidR="00B404D1" w:rsidRPr="00EB1D71" w:rsidRDefault="00B404D1" w:rsidP="00C4041A">
            <w:pPr>
              <w:rPr>
                <w:rFonts w:asciiTheme="minorHAnsi" w:eastAsia="Times New Roman" w:hAnsiTheme="minorHAnsi" w:cstheme="minorHAnsi"/>
                <w:color w:val="000000"/>
                <w:lang w:eastAsia="en-GB"/>
              </w:rPr>
            </w:pPr>
            <w:r w:rsidRPr="00EB1D71">
              <w:rPr>
                <w:rFonts w:asciiTheme="minorHAnsi" w:eastAsia="Times New Roman" w:hAnsiTheme="minorHAnsi" w:cstheme="minorHAnsi"/>
                <w:b w:val="0"/>
                <w:color w:val="000000"/>
                <w:lang w:eastAsia="en-GB"/>
              </w:rPr>
              <w:t>PLFA</w:t>
            </w:r>
          </w:p>
        </w:tc>
        <w:tc>
          <w:tcPr>
            <w:tcW w:w="4605" w:type="dxa"/>
            <w:noWrap/>
            <w:hideMark/>
          </w:tcPr>
          <w:p w14:paraId="08513BC2" w14:textId="77777777" w:rsidR="00B404D1" w:rsidRPr="00EB1D71" w:rsidRDefault="00B404D1" w:rsidP="00661E94">
            <w:pPr>
              <w:pStyle w:val="Table-Body-centred"/>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10</w:t>
            </w:r>
          </w:p>
        </w:tc>
      </w:tr>
    </w:tbl>
    <w:p w14:paraId="597D3F75" w14:textId="77777777" w:rsidR="00B404D1" w:rsidRPr="00EB1D71" w:rsidRDefault="00B404D1" w:rsidP="00B404D1">
      <w:pPr>
        <w:rPr>
          <w:rFonts w:asciiTheme="minorHAnsi" w:hAnsiTheme="minorHAnsi" w:cstheme="minorHAnsi"/>
        </w:rPr>
      </w:pPr>
    </w:p>
    <w:p w14:paraId="7B3ED5BA" w14:textId="17251C97" w:rsidR="00B404D1" w:rsidRPr="00EB1D71" w:rsidRDefault="00B404D1" w:rsidP="00B404D1">
      <w:pPr>
        <w:rPr>
          <w:rFonts w:asciiTheme="minorHAnsi" w:hAnsiTheme="minorHAnsi" w:cstheme="minorHAnsi"/>
        </w:rPr>
      </w:pPr>
      <w:r w:rsidRPr="00EB1D71">
        <w:rPr>
          <w:rFonts w:asciiTheme="minorHAnsi" w:hAnsiTheme="minorHAnsi" w:cstheme="minorHAnsi"/>
        </w:rPr>
        <w:t>The preliminary ranking showed that recently emerging biological indicators had lower median scores than better established indicators (</w:t>
      </w:r>
      <w:r w:rsidR="004F3EB4" w:rsidRPr="00EB1D71">
        <w:rPr>
          <w:rStyle w:val="TableHyperlink"/>
          <w:rFonts w:asciiTheme="minorHAnsi" w:hAnsiTheme="minorHAnsi" w:cstheme="minorHAnsi"/>
        </w:rPr>
        <w:fldChar w:fldCharType="begin"/>
      </w:r>
      <w:r w:rsidR="004F3EB4" w:rsidRPr="00EB1D71">
        <w:rPr>
          <w:rStyle w:val="TableHyperlink"/>
          <w:rFonts w:asciiTheme="minorHAnsi" w:hAnsiTheme="minorHAnsi" w:cstheme="minorHAnsi"/>
        </w:rPr>
        <w:instrText xml:space="preserve"> REF _Ref229662136 \h </w:instrText>
      </w:r>
      <w:r w:rsidR="00735BB6" w:rsidRPr="00EB1D71">
        <w:rPr>
          <w:rStyle w:val="TableHyperlink"/>
          <w:rFonts w:asciiTheme="minorHAnsi" w:hAnsiTheme="minorHAnsi" w:cstheme="minorHAnsi"/>
        </w:rPr>
        <w:instrText xml:space="preserve"> \* MERGEFORMAT </w:instrText>
      </w:r>
      <w:r w:rsidR="004F3EB4" w:rsidRPr="00EB1D71">
        <w:rPr>
          <w:rStyle w:val="TableHyperlink"/>
          <w:rFonts w:asciiTheme="minorHAnsi" w:hAnsiTheme="minorHAnsi" w:cstheme="minorHAnsi"/>
        </w:rPr>
      </w:r>
      <w:r w:rsidR="004F3EB4" w:rsidRPr="00EB1D71">
        <w:rPr>
          <w:rStyle w:val="TableHyperlink"/>
          <w:rFonts w:asciiTheme="minorHAnsi" w:hAnsiTheme="minorHAnsi" w:cstheme="minorHAnsi"/>
        </w:rPr>
        <w:fldChar w:fldCharType="separate"/>
      </w:r>
      <w:r w:rsidR="004F3EB4" w:rsidRPr="00EB1D71">
        <w:rPr>
          <w:rStyle w:val="TableHyperlink"/>
          <w:rFonts w:asciiTheme="minorHAnsi" w:hAnsiTheme="minorHAnsi" w:cstheme="minorHAnsi"/>
        </w:rPr>
        <w:t>Table 18</w:t>
      </w:r>
      <w:r w:rsidR="004F3EB4" w:rsidRPr="00EB1D71">
        <w:rPr>
          <w:rStyle w:val="TableHyperlink"/>
          <w:rFonts w:asciiTheme="minorHAnsi" w:hAnsiTheme="minorHAnsi" w:cstheme="minorHAnsi"/>
        </w:rPr>
        <w:fldChar w:fldCharType="end"/>
      </w:r>
      <w:r w:rsidRPr="00EB1D71">
        <w:rPr>
          <w:rFonts w:asciiTheme="minorHAnsi" w:hAnsiTheme="minorHAnsi" w:cstheme="minorHAnsi"/>
        </w:rPr>
        <w:t xml:space="preserve">). The preliminary top indicator, earthworm counts, scored highly with most participants across criteria 1 – 3 and 5 – </w:t>
      </w:r>
      <w:r w:rsidR="00BE4D91">
        <w:rPr>
          <w:rFonts w:asciiTheme="minorHAnsi" w:hAnsiTheme="minorHAnsi" w:cstheme="minorHAnsi"/>
        </w:rPr>
        <w:t>6</w:t>
      </w:r>
      <w:r w:rsidRPr="00EB1D71">
        <w:rPr>
          <w:rFonts w:asciiTheme="minorHAnsi" w:hAnsiTheme="minorHAnsi" w:cstheme="minorHAnsi"/>
        </w:rPr>
        <w:t xml:space="preserve"> (</w:t>
      </w:r>
      <w:r w:rsidR="009A568B" w:rsidRPr="00EB1D71">
        <w:rPr>
          <w:rStyle w:val="TableHyperlink"/>
          <w:rFonts w:asciiTheme="minorHAnsi" w:hAnsiTheme="minorHAnsi" w:cstheme="minorHAnsi"/>
        </w:rPr>
        <w:fldChar w:fldCharType="begin"/>
      </w:r>
      <w:r w:rsidR="009A568B" w:rsidRPr="00EB1D71">
        <w:rPr>
          <w:rStyle w:val="TableHyperlink"/>
          <w:rFonts w:asciiTheme="minorHAnsi" w:hAnsiTheme="minorHAnsi" w:cstheme="minorHAnsi"/>
        </w:rPr>
        <w:instrText xml:space="preserve"> REF _Ref229662092 \h </w:instrText>
      </w:r>
      <w:r w:rsidR="00735BB6" w:rsidRPr="00EB1D71">
        <w:rPr>
          <w:rStyle w:val="TableHyperlink"/>
          <w:rFonts w:asciiTheme="minorHAnsi" w:hAnsiTheme="minorHAnsi" w:cstheme="minorHAnsi"/>
        </w:rPr>
        <w:instrText xml:space="preserve"> \* MERGEFORMAT </w:instrText>
      </w:r>
      <w:r w:rsidR="009A568B" w:rsidRPr="00EB1D71">
        <w:rPr>
          <w:rStyle w:val="TableHyperlink"/>
          <w:rFonts w:asciiTheme="minorHAnsi" w:hAnsiTheme="minorHAnsi" w:cstheme="minorHAnsi"/>
        </w:rPr>
      </w:r>
      <w:r w:rsidR="009A568B" w:rsidRPr="00EB1D71">
        <w:rPr>
          <w:rStyle w:val="TableHyperlink"/>
          <w:rFonts w:asciiTheme="minorHAnsi" w:hAnsiTheme="minorHAnsi" w:cstheme="minorHAnsi"/>
        </w:rPr>
        <w:fldChar w:fldCharType="separate"/>
      </w:r>
      <w:r w:rsidR="009A568B" w:rsidRPr="00EB1D71">
        <w:rPr>
          <w:rStyle w:val="TableHyperlink"/>
          <w:rFonts w:asciiTheme="minorHAnsi" w:hAnsiTheme="minorHAnsi" w:cstheme="minorHAnsi"/>
        </w:rPr>
        <w:t>Figure 13</w:t>
      </w:r>
      <w:r w:rsidR="009A568B" w:rsidRPr="00EB1D71">
        <w:rPr>
          <w:rStyle w:val="TableHyperlink"/>
          <w:rFonts w:asciiTheme="minorHAnsi" w:hAnsiTheme="minorHAnsi" w:cstheme="minorHAnsi"/>
        </w:rPr>
        <w:fldChar w:fldCharType="end"/>
      </w:r>
      <w:r w:rsidRPr="00EB1D71">
        <w:rPr>
          <w:rFonts w:asciiTheme="minorHAnsi" w:hAnsiTheme="minorHAnsi" w:cstheme="minorHAnsi"/>
        </w:rPr>
        <w:t xml:space="preserve">). This </w:t>
      </w:r>
      <w:proofErr w:type="gramStart"/>
      <w:r w:rsidRPr="00EB1D71">
        <w:rPr>
          <w:rFonts w:asciiTheme="minorHAnsi" w:hAnsiTheme="minorHAnsi" w:cstheme="minorHAnsi"/>
        </w:rPr>
        <w:t>was in contrast to</w:t>
      </w:r>
      <w:proofErr w:type="gramEnd"/>
      <w:r w:rsidRPr="00EB1D71">
        <w:rPr>
          <w:rFonts w:asciiTheme="minorHAnsi" w:hAnsiTheme="minorHAnsi" w:cstheme="minorHAnsi"/>
        </w:rPr>
        <w:t xml:space="preserve"> Enzymes, PLFA, Functional Genes and Soil </w:t>
      </w:r>
      <w:proofErr w:type="spellStart"/>
      <w:r w:rsidRPr="00EB1D71">
        <w:rPr>
          <w:rFonts w:asciiTheme="minorHAnsi" w:hAnsiTheme="minorHAnsi" w:cstheme="minorHAnsi"/>
        </w:rPr>
        <w:t>Foodweb</w:t>
      </w:r>
      <w:proofErr w:type="spellEnd"/>
      <w:r w:rsidRPr="00EB1D71">
        <w:rPr>
          <w:rFonts w:asciiTheme="minorHAnsi" w:hAnsiTheme="minorHAnsi" w:cstheme="minorHAnsi"/>
        </w:rPr>
        <w:t>, none of which scored highly across any of the criteria considered (</w:t>
      </w:r>
      <w:r w:rsidR="009A568B" w:rsidRPr="00EB1D71">
        <w:rPr>
          <w:rStyle w:val="TableHyperlink"/>
          <w:rFonts w:asciiTheme="minorHAnsi" w:hAnsiTheme="minorHAnsi" w:cstheme="minorHAnsi"/>
        </w:rPr>
        <w:fldChar w:fldCharType="begin"/>
      </w:r>
      <w:r w:rsidR="009A568B" w:rsidRPr="00EB1D71">
        <w:rPr>
          <w:rStyle w:val="TableHyperlink"/>
          <w:rFonts w:asciiTheme="minorHAnsi" w:hAnsiTheme="minorHAnsi" w:cstheme="minorHAnsi"/>
        </w:rPr>
        <w:instrText xml:space="preserve"> REF _Ref229662092 \h </w:instrText>
      </w:r>
      <w:r w:rsidR="00735BB6" w:rsidRPr="00EB1D71">
        <w:rPr>
          <w:rStyle w:val="TableHyperlink"/>
          <w:rFonts w:asciiTheme="minorHAnsi" w:hAnsiTheme="minorHAnsi" w:cstheme="minorHAnsi"/>
        </w:rPr>
        <w:instrText xml:space="preserve"> \* MERGEFORMAT </w:instrText>
      </w:r>
      <w:r w:rsidR="009A568B" w:rsidRPr="00EB1D71">
        <w:rPr>
          <w:rStyle w:val="TableHyperlink"/>
          <w:rFonts w:asciiTheme="minorHAnsi" w:hAnsiTheme="minorHAnsi" w:cstheme="minorHAnsi"/>
        </w:rPr>
      </w:r>
      <w:r w:rsidR="009A568B" w:rsidRPr="00EB1D71">
        <w:rPr>
          <w:rStyle w:val="TableHyperlink"/>
          <w:rFonts w:asciiTheme="minorHAnsi" w:hAnsiTheme="minorHAnsi" w:cstheme="minorHAnsi"/>
        </w:rPr>
        <w:fldChar w:fldCharType="separate"/>
      </w:r>
      <w:r w:rsidR="009A568B" w:rsidRPr="00EB1D71">
        <w:rPr>
          <w:rStyle w:val="TableHyperlink"/>
          <w:rFonts w:asciiTheme="minorHAnsi" w:hAnsiTheme="minorHAnsi" w:cstheme="minorHAnsi"/>
        </w:rPr>
        <w:t>Figure 13</w:t>
      </w:r>
      <w:r w:rsidR="009A568B" w:rsidRPr="00EB1D71">
        <w:rPr>
          <w:rStyle w:val="TableHyperlink"/>
          <w:rFonts w:asciiTheme="minorHAnsi" w:hAnsiTheme="minorHAnsi" w:cstheme="minorHAnsi"/>
        </w:rPr>
        <w:fldChar w:fldCharType="end"/>
      </w:r>
      <w:r w:rsidRPr="00EB1D71">
        <w:rPr>
          <w:rFonts w:asciiTheme="minorHAnsi" w:hAnsiTheme="minorHAnsi" w:cstheme="minorHAnsi"/>
        </w:rPr>
        <w:t>).</w:t>
      </w:r>
    </w:p>
    <w:p w14:paraId="349A3708" w14:textId="77777777" w:rsidR="00B404D1" w:rsidRPr="00EB1D71" w:rsidRDefault="00B404D1" w:rsidP="00B404D1">
      <w:pPr>
        <w:pStyle w:val="Caption"/>
        <w:rPr>
          <w:rFonts w:asciiTheme="minorHAnsi" w:hAnsiTheme="minorHAnsi" w:cstheme="minorHAnsi"/>
          <w:sz w:val="24"/>
          <w:szCs w:val="24"/>
        </w:rPr>
        <w:sectPr w:rsidR="00B404D1" w:rsidRPr="00EB1D71" w:rsidSect="00B404D1">
          <w:pgSz w:w="11906" w:h="16838"/>
          <w:pgMar w:top="1134" w:right="1134" w:bottom="1134" w:left="1134" w:header="709" w:footer="709" w:gutter="0"/>
          <w:cols w:space="708"/>
          <w:docGrid w:linePitch="360"/>
        </w:sectPr>
      </w:pPr>
    </w:p>
    <w:p w14:paraId="31A8C0E8" w14:textId="767F5DA0" w:rsidR="009A568B" w:rsidRPr="00EB1D71" w:rsidRDefault="009A568B" w:rsidP="009A568B">
      <w:pPr>
        <w:pStyle w:val="Caption"/>
        <w:keepNext/>
        <w:rPr>
          <w:rFonts w:asciiTheme="minorHAnsi" w:hAnsiTheme="minorHAnsi" w:cstheme="minorHAnsi"/>
        </w:rPr>
      </w:pPr>
      <w:bookmarkStart w:id="120" w:name="_Ref229662092"/>
      <w:r w:rsidRPr="00EB1D71">
        <w:rPr>
          <w:rFonts w:asciiTheme="minorHAnsi" w:hAnsiTheme="minorHAnsi" w:cstheme="minorHAnsi"/>
        </w:rPr>
        <w:lastRenderedPageBreak/>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13</w:t>
      </w:r>
      <w:r w:rsidR="007D3945">
        <w:rPr>
          <w:rFonts w:asciiTheme="minorHAnsi" w:hAnsiTheme="minorHAnsi" w:cstheme="minorHAnsi"/>
        </w:rPr>
        <w:fldChar w:fldCharType="end"/>
      </w:r>
      <w:bookmarkEnd w:id="120"/>
      <w:r w:rsidRPr="00EB1D71">
        <w:rPr>
          <w:rFonts w:asciiTheme="minorHAnsi" w:hAnsiTheme="minorHAnsi" w:cstheme="minorHAnsi"/>
        </w:rPr>
        <w:t xml:space="preserve"> Breakdown of </w:t>
      </w:r>
      <w:r w:rsidR="00A01122">
        <w:rPr>
          <w:rFonts w:asciiTheme="minorHAnsi" w:hAnsiTheme="minorHAnsi" w:cstheme="minorHAnsi"/>
        </w:rPr>
        <w:t xml:space="preserve">the </w:t>
      </w:r>
      <w:r w:rsidRPr="00EB1D71">
        <w:rPr>
          <w:rFonts w:asciiTheme="minorHAnsi" w:hAnsiTheme="minorHAnsi" w:cstheme="minorHAnsi"/>
        </w:rPr>
        <w:t>criteria score contributing to ranking of indicators from results of first survey responses (n = 6)</w:t>
      </w:r>
    </w:p>
    <w:p w14:paraId="4811B9EE" w14:textId="2DF7914C" w:rsidR="00B404D1" w:rsidRPr="00EB1D71" w:rsidRDefault="00B404D1">
      <w:pPr>
        <w:spacing w:line="278" w:lineRule="auto"/>
        <w:rPr>
          <w:rFonts w:asciiTheme="minorHAnsi" w:hAnsiTheme="minorHAnsi" w:cstheme="minorHAnsi"/>
        </w:rPr>
      </w:pPr>
      <w:r w:rsidRPr="00EB1D71">
        <w:rPr>
          <w:rFonts w:asciiTheme="minorHAnsi" w:hAnsiTheme="minorHAnsi" w:cstheme="minorHAnsi"/>
          <w:b/>
          <w:bCs/>
          <w:noProof/>
          <w:sz w:val="24"/>
        </w:rPr>
        <w:drawing>
          <wp:inline distT="0" distB="0" distL="0" distR="0" wp14:anchorId="636D924B" wp14:editId="0D8DDF83">
            <wp:extent cx="8839200" cy="4051559"/>
            <wp:effectExtent l="19050" t="19050" r="19050" b="25400"/>
            <wp:docPr id="932524584" name="Picture 1" descr="Stacked bar chart comparing the contribution of six criteria to the total indicator scores. The six criteria are: data, expense, health, samples, sensitivity, and utility. Earthworms have the highest total score near 150, while PLFA has the lowest aroun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524584" name="Picture 1" descr="Stacked bar chart comparing the contribution of six criteria to the total indicator scores. The six criteria are: data, expense, health, samples, sensitivity, and utility. Earthworms have the highest total score near 150, while PLFA has the lowest around 50."/>
                    <pic:cNvPicPr/>
                  </pic:nvPicPr>
                  <pic:blipFill rotWithShape="1">
                    <a:blip r:embed="rId50"/>
                    <a:srcRect b="998"/>
                    <a:stretch>
                      <a:fillRect/>
                    </a:stretch>
                  </pic:blipFill>
                  <pic:spPr bwMode="auto">
                    <a:xfrm>
                      <a:off x="0" y="0"/>
                      <a:ext cx="8853530" cy="4058127"/>
                    </a:xfrm>
                    <a:prstGeom prst="rect">
                      <a:avLst/>
                    </a:prstGeom>
                    <a:ln w="9525"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B81459C" w14:textId="77777777" w:rsidR="00070057" w:rsidRDefault="00466A53">
      <w:pPr>
        <w:spacing w:line="278" w:lineRule="auto"/>
        <w:rPr>
          <w:rFonts w:asciiTheme="minorHAnsi" w:hAnsiTheme="minorHAnsi" w:cstheme="minorHAnsi"/>
        </w:rPr>
        <w:sectPr w:rsidR="00070057" w:rsidSect="00661E94">
          <w:pgSz w:w="16838" w:h="11906" w:orient="landscape"/>
          <w:pgMar w:top="1418" w:right="1418" w:bottom="1418" w:left="1418" w:header="709" w:footer="454" w:gutter="0"/>
          <w:cols w:space="708"/>
          <w:docGrid w:linePitch="360"/>
        </w:sectPr>
      </w:pPr>
      <w:r>
        <w:rPr>
          <w:rFonts w:asciiTheme="minorHAnsi" w:hAnsiTheme="minorHAnsi" w:cstheme="minorHAnsi"/>
        </w:rPr>
        <w:t>From highest to lowest</w:t>
      </w:r>
      <w:r w:rsidR="00A50980">
        <w:rPr>
          <w:rFonts w:asciiTheme="minorHAnsi" w:hAnsiTheme="minorHAnsi" w:cstheme="minorHAnsi"/>
        </w:rPr>
        <w:t>, e</w:t>
      </w:r>
      <w:r>
        <w:rPr>
          <w:rFonts w:asciiTheme="minorHAnsi" w:hAnsiTheme="minorHAnsi" w:cstheme="minorHAnsi"/>
        </w:rPr>
        <w:t xml:space="preserve">arthworms </w:t>
      </w:r>
      <w:r w:rsidR="00166F30">
        <w:rPr>
          <w:rFonts w:asciiTheme="minorHAnsi" w:hAnsiTheme="minorHAnsi" w:cstheme="minorHAnsi"/>
        </w:rPr>
        <w:t xml:space="preserve">scored </w:t>
      </w:r>
      <w:r>
        <w:rPr>
          <w:rFonts w:asciiTheme="minorHAnsi" w:hAnsiTheme="minorHAnsi" w:cstheme="minorHAnsi"/>
        </w:rPr>
        <w:t>around 150</w:t>
      </w:r>
      <w:r w:rsidR="00A50980">
        <w:rPr>
          <w:rFonts w:asciiTheme="minorHAnsi" w:hAnsiTheme="minorHAnsi" w:cstheme="minorHAnsi"/>
        </w:rPr>
        <w:t xml:space="preserve"> in total</w:t>
      </w:r>
      <w:r>
        <w:rPr>
          <w:rFonts w:asciiTheme="minorHAnsi" w:hAnsiTheme="minorHAnsi" w:cstheme="minorHAnsi"/>
        </w:rPr>
        <w:t xml:space="preserve">, </w:t>
      </w:r>
      <w:r w:rsidR="00962C51">
        <w:rPr>
          <w:rFonts w:asciiTheme="minorHAnsi" w:hAnsiTheme="minorHAnsi" w:cstheme="minorHAnsi"/>
        </w:rPr>
        <w:t>PMN and Crop rooting between 100 and 125, CO</w:t>
      </w:r>
      <w:r w:rsidR="00962C51" w:rsidRPr="00A50980">
        <w:rPr>
          <w:rFonts w:asciiTheme="minorHAnsi" w:hAnsiTheme="minorHAnsi" w:cstheme="minorHAnsi"/>
          <w:vertAlign w:val="subscript"/>
        </w:rPr>
        <w:t>2</w:t>
      </w:r>
      <w:r w:rsidR="00962C51">
        <w:rPr>
          <w:rFonts w:asciiTheme="minorHAnsi" w:hAnsiTheme="minorHAnsi" w:cstheme="minorHAnsi"/>
        </w:rPr>
        <w:t xml:space="preserve"> burst, </w:t>
      </w:r>
      <w:r w:rsidR="0048719C">
        <w:rPr>
          <w:rFonts w:asciiTheme="minorHAnsi" w:hAnsiTheme="minorHAnsi" w:cstheme="minorHAnsi"/>
        </w:rPr>
        <w:t>Aggregates and soil C fractions between 75 and 100, Functional genes</w:t>
      </w:r>
      <w:r w:rsidR="003538D8">
        <w:rPr>
          <w:rFonts w:asciiTheme="minorHAnsi" w:hAnsiTheme="minorHAnsi" w:cstheme="minorHAnsi"/>
        </w:rPr>
        <w:t xml:space="preserve"> between 50 and 75 and soil </w:t>
      </w:r>
      <w:proofErr w:type="spellStart"/>
      <w:r w:rsidR="003538D8">
        <w:rPr>
          <w:rFonts w:asciiTheme="minorHAnsi" w:hAnsiTheme="minorHAnsi" w:cstheme="minorHAnsi"/>
        </w:rPr>
        <w:t>foodweb</w:t>
      </w:r>
      <w:proofErr w:type="spellEnd"/>
      <w:r w:rsidR="003538D8">
        <w:rPr>
          <w:rFonts w:asciiTheme="minorHAnsi" w:hAnsiTheme="minorHAnsi" w:cstheme="minorHAnsi"/>
        </w:rPr>
        <w:t>, enzymes and PLFA between 25 and 50</w:t>
      </w:r>
    </w:p>
    <w:p w14:paraId="4DDDE864" w14:textId="022996D2" w:rsidR="00A908FD" w:rsidRDefault="00F26291">
      <w:pPr>
        <w:spacing w:line="278" w:lineRule="auto"/>
        <w:rPr>
          <w:rFonts w:asciiTheme="minorHAnsi" w:hAnsiTheme="minorHAnsi" w:cstheme="minorHAnsi"/>
        </w:rPr>
      </w:pPr>
      <w:r>
        <w:rPr>
          <w:rFonts w:asciiTheme="minorHAnsi" w:hAnsiTheme="minorHAnsi" w:cstheme="minorHAnsi"/>
        </w:rPr>
        <w:lastRenderedPageBreak/>
        <w:t>R</w:t>
      </w:r>
      <w:r w:rsidR="00EF421F">
        <w:rPr>
          <w:rFonts w:asciiTheme="minorHAnsi" w:hAnsiTheme="minorHAnsi" w:cstheme="minorHAnsi"/>
        </w:rPr>
        <w:t xml:space="preserve">esults for </w:t>
      </w:r>
      <w:r w:rsidR="00384349">
        <w:rPr>
          <w:rFonts w:asciiTheme="minorHAnsi" w:hAnsiTheme="minorHAnsi" w:cstheme="minorHAnsi"/>
        </w:rPr>
        <w:t xml:space="preserve">each </w:t>
      </w:r>
      <w:r>
        <w:rPr>
          <w:rFonts w:asciiTheme="minorHAnsi" w:hAnsiTheme="minorHAnsi" w:cstheme="minorHAnsi"/>
        </w:rPr>
        <w:t>criterion</w:t>
      </w:r>
      <w:r w:rsidR="00384349">
        <w:rPr>
          <w:rFonts w:asciiTheme="minorHAnsi" w:hAnsiTheme="minorHAnsi" w:cstheme="minorHAnsi"/>
        </w:rPr>
        <w:t xml:space="preserve"> </w:t>
      </w:r>
      <w:r w:rsidR="00EF421F">
        <w:rPr>
          <w:rFonts w:asciiTheme="minorHAnsi" w:hAnsiTheme="minorHAnsi" w:cstheme="minorHAnsi"/>
        </w:rPr>
        <w:t xml:space="preserve">presented in </w:t>
      </w:r>
      <w:r w:rsidR="00EF421F">
        <w:rPr>
          <w:rFonts w:asciiTheme="minorHAnsi" w:hAnsiTheme="minorHAnsi" w:cstheme="minorHAnsi"/>
        </w:rPr>
        <w:fldChar w:fldCharType="begin"/>
      </w:r>
      <w:r w:rsidR="00EF421F">
        <w:rPr>
          <w:rFonts w:asciiTheme="minorHAnsi" w:hAnsiTheme="minorHAnsi" w:cstheme="minorHAnsi"/>
        </w:rPr>
        <w:instrText xml:space="preserve"> REF _Ref229662092 \h </w:instrText>
      </w:r>
      <w:r w:rsidR="00EF421F">
        <w:rPr>
          <w:rFonts w:asciiTheme="minorHAnsi" w:hAnsiTheme="minorHAnsi" w:cstheme="minorHAnsi"/>
        </w:rPr>
      </w:r>
      <w:r w:rsidR="00EF421F">
        <w:rPr>
          <w:rFonts w:asciiTheme="minorHAnsi" w:hAnsiTheme="minorHAnsi" w:cstheme="minorHAnsi"/>
        </w:rPr>
        <w:fldChar w:fldCharType="separate"/>
      </w:r>
      <w:r w:rsidR="00EF421F" w:rsidRPr="00EB1D71">
        <w:rPr>
          <w:rFonts w:asciiTheme="minorHAnsi" w:hAnsiTheme="minorHAnsi" w:cstheme="minorHAnsi"/>
        </w:rPr>
        <w:t xml:space="preserve">Figure </w:t>
      </w:r>
      <w:r w:rsidR="00EF421F">
        <w:rPr>
          <w:rFonts w:asciiTheme="minorHAnsi" w:hAnsiTheme="minorHAnsi" w:cstheme="minorHAnsi"/>
          <w:noProof/>
        </w:rPr>
        <w:t>13</w:t>
      </w:r>
      <w:r w:rsidR="00EF421F">
        <w:rPr>
          <w:rFonts w:asciiTheme="minorHAnsi" w:hAnsiTheme="minorHAnsi" w:cstheme="minorHAnsi"/>
        </w:rPr>
        <w:fldChar w:fldCharType="end"/>
      </w:r>
      <w:r w:rsidR="00384349">
        <w:rPr>
          <w:rFonts w:asciiTheme="minorHAnsi" w:hAnsiTheme="minorHAnsi" w:cstheme="minorHAnsi"/>
        </w:rPr>
        <w:t>:</w:t>
      </w:r>
    </w:p>
    <w:p w14:paraId="311D67C4" w14:textId="4B863751" w:rsidR="00A908FD" w:rsidRPr="00A50980" w:rsidRDefault="00166F30" w:rsidP="00A50980">
      <w:pPr>
        <w:pStyle w:val="ListParagraph"/>
        <w:numPr>
          <w:ilvl w:val="0"/>
          <w:numId w:val="57"/>
        </w:numPr>
        <w:spacing w:line="278" w:lineRule="auto"/>
        <w:rPr>
          <w:rFonts w:asciiTheme="minorHAnsi" w:hAnsiTheme="minorHAnsi" w:cstheme="minorHAnsi"/>
        </w:rPr>
      </w:pPr>
      <w:r w:rsidRPr="00A50980">
        <w:rPr>
          <w:rFonts w:asciiTheme="minorHAnsi" w:hAnsiTheme="minorHAnsi" w:cstheme="minorHAnsi"/>
        </w:rPr>
        <w:t>Confidence that there is robust, UK relevant data</w:t>
      </w:r>
      <w:r w:rsidR="00A01122">
        <w:rPr>
          <w:rFonts w:asciiTheme="minorHAnsi" w:hAnsiTheme="minorHAnsi" w:cstheme="minorHAnsi"/>
        </w:rPr>
        <w:t>;</w:t>
      </w:r>
      <w:r w:rsidR="00384349" w:rsidRPr="00A50980">
        <w:rPr>
          <w:rFonts w:asciiTheme="minorHAnsi" w:hAnsiTheme="minorHAnsi" w:cstheme="minorHAnsi"/>
        </w:rPr>
        <w:t xml:space="preserve"> </w:t>
      </w:r>
      <w:r w:rsidR="00A01122">
        <w:rPr>
          <w:rFonts w:asciiTheme="minorHAnsi" w:hAnsiTheme="minorHAnsi" w:cstheme="minorHAnsi"/>
        </w:rPr>
        <w:t>e</w:t>
      </w:r>
      <w:r w:rsidR="00384349" w:rsidRPr="00A50980">
        <w:rPr>
          <w:rFonts w:asciiTheme="minorHAnsi" w:hAnsiTheme="minorHAnsi" w:cstheme="minorHAnsi"/>
        </w:rPr>
        <w:t>arthworms score</w:t>
      </w:r>
      <w:r w:rsidRPr="00A50980">
        <w:rPr>
          <w:rFonts w:asciiTheme="minorHAnsi" w:hAnsiTheme="minorHAnsi" w:cstheme="minorHAnsi"/>
        </w:rPr>
        <w:t>d</w:t>
      </w:r>
      <w:r w:rsidR="00384349" w:rsidRPr="00A50980">
        <w:rPr>
          <w:rFonts w:asciiTheme="minorHAnsi" w:hAnsiTheme="minorHAnsi" w:cstheme="minorHAnsi"/>
        </w:rPr>
        <w:t xml:space="preserve"> the highest</w:t>
      </w:r>
      <w:r w:rsidR="00A01122">
        <w:rPr>
          <w:rFonts w:asciiTheme="minorHAnsi" w:hAnsiTheme="minorHAnsi" w:cstheme="minorHAnsi"/>
        </w:rPr>
        <w:t>, e</w:t>
      </w:r>
      <w:r w:rsidR="00384349" w:rsidRPr="00A50980">
        <w:rPr>
          <w:rFonts w:asciiTheme="minorHAnsi" w:hAnsiTheme="minorHAnsi" w:cstheme="minorHAnsi"/>
        </w:rPr>
        <w:t>nzymes and PLFA score</w:t>
      </w:r>
      <w:r w:rsidRPr="00A50980">
        <w:rPr>
          <w:rFonts w:asciiTheme="minorHAnsi" w:hAnsiTheme="minorHAnsi" w:cstheme="minorHAnsi"/>
        </w:rPr>
        <w:t>d</w:t>
      </w:r>
      <w:r w:rsidR="00384349" w:rsidRPr="00A50980">
        <w:rPr>
          <w:rFonts w:asciiTheme="minorHAnsi" w:hAnsiTheme="minorHAnsi" w:cstheme="minorHAnsi"/>
        </w:rPr>
        <w:t xml:space="preserve"> the lowest</w:t>
      </w:r>
    </w:p>
    <w:p w14:paraId="6BE939E5" w14:textId="77777777" w:rsidR="004449A9" w:rsidRDefault="00166F30" w:rsidP="00891668">
      <w:pPr>
        <w:pStyle w:val="ListParagraph"/>
        <w:numPr>
          <w:ilvl w:val="0"/>
          <w:numId w:val="58"/>
        </w:numPr>
        <w:spacing w:line="278" w:lineRule="auto"/>
        <w:rPr>
          <w:rFonts w:asciiTheme="minorHAnsi" w:hAnsiTheme="minorHAnsi" w:cstheme="minorHAnsi"/>
        </w:rPr>
      </w:pPr>
      <w:r w:rsidRPr="00070057">
        <w:rPr>
          <w:rFonts w:asciiTheme="minorHAnsi" w:hAnsiTheme="minorHAnsi" w:cstheme="minorHAnsi"/>
        </w:rPr>
        <w:t xml:space="preserve">Cost to client for analysis </w:t>
      </w:r>
      <w:r w:rsidR="00844064" w:rsidRPr="00070057">
        <w:rPr>
          <w:rFonts w:asciiTheme="minorHAnsi" w:hAnsiTheme="minorHAnsi" w:cstheme="minorHAnsi"/>
        </w:rPr>
        <w:t>(e</w:t>
      </w:r>
      <w:r w:rsidR="00A908FD" w:rsidRPr="00070057">
        <w:rPr>
          <w:rFonts w:asciiTheme="minorHAnsi" w:hAnsiTheme="minorHAnsi" w:cstheme="minorHAnsi"/>
        </w:rPr>
        <w:t>xpense</w:t>
      </w:r>
      <w:r w:rsidR="00844064" w:rsidRPr="00070057">
        <w:rPr>
          <w:rFonts w:asciiTheme="minorHAnsi" w:hAnsiTheme="minorHAnsi" w:cstheme="minorHAnsi"/>
        </w:rPr>
        <w:t>)</w:t>
      </w:r>
      <w:r w:rsidR="00A908FD" w:rsidRPr="00070057">
        <w:rPr>
          <w:rFonts w:asciiTheme="minorHAnsi" w:hAnsiTheme="minorHAnsi" w:cstheme="minorHAnsi"/>
        </w:rPr>
        <w:t xml:space="preserve">; </w:t>
      </w:r>
      <w:r w:rsidR="00A01122" w:rsidRPr="00070057">
        <w:rPr>
          <w:rFonts w:asciiTheme="minorHAnsi" w:hAnsiTheme="minorHAnsi" w:cstheme="minorHAnsi"/>
        </w:rPr>
        <w:t>e</w:t>
      </w:r>
      <w:r w:rsidR="00A908FD" w:rsidRPr="00070057">
        <w:rPr>
          <w:rFonts w:asciiTheme="minorHAnsi" w:hAnsiTheme="minorHAnsi" w:cstheme="minorHAnsi"/>
        </w:rPr>
        <w:t>arthworms and crop rooting s</w:t>
      </w:r>
      <w:r w:rsidR="00844064" w:rsidRPr="00070057">
        <w:rPr>
          <w:rFonts w:asciiTheme="minorHAnsi" w:hAnsiTheme="minorHAnsi" w:cstheme="minorHAnsi"/>
        </w:rPr>
        <w:t>c</w:t>
      </w:r>
      <w:r w:rsidR="00A908FD" w:rsidRPr="00070057">
        <w:rPr>
          <w:rFonts w:asciiTheme="minorHAnsi" w:hAnsiTheme="minorHAnsi" w:cstheme="minorHAnsi"/>
        </w:rPr>
        <w:t>ore</w:t>
      </w:r>
      <w:r w:rsidR="00844064" w:rsidRPr="00070057">
        <w:rPr>
          <w:rFonts w:asciiTheme="minorHAnsi" w:hAnsiTheme="minorHAnsi" w:cstheme="minorHAnsi"/>
        </w:rPr>
        <w:t>d</w:t>
      </w:r>
      <w:r w:rsidR="00A908FD" w:rsidRPr="00070057">
        <w:rPr>
          <w:rFonts w:asciiTheme="minorHAnsi" w:hAnsiTheme="minorHAnsi" w:cstheme="minorHAnsi"/>
        </w:rPr>
        <w:t xml:space="preserve"> </w:t>
      </w:r>
      <w:r w:rsidR="00844064" w:rsidRPr="00070057">
        <w:rPr>
          <w:rFonts w:asciiTheme="minorHAnsi" w:hAnsiTheme="minorHAnsi" w:cstheme="minorHAnsi"/>
        </w:rPr>
        <w:t>the highest</w:t>
      </w:r>
      <w:r w:rsidR="00384349" w:rsidRPr="00070057">
        <w:rPr>
          <w:rFonts w:asciiTheme="minorHAnsi" w:hAnsiTheme="minorHAnsi" w:cstheme="minorHAnsi"/>
        </w:rPr>
        <w:t>, PLFA and en</w:t>
      </w:r>
      <w:r w:rsidR="00844064" w:rsidRPr="00070057">
        <w:rPr>
          <w:rFonts w:asciiTheme="minorHAnsi" w:hAnsiTheme="minorHAnsi" w:cstheme="minorHAnsi"/>
        </w:rPr>
        <w:t>z</w:t>
      </w:r>
      <w:r w:rsidR="00384349" w:rsidRPr="00070057">
        <w:rPr>
          <w:rFonts w:asciiTheme="minorHAnsi" w:hAnsiTheme="minorHAnsi" w:cstheme="minorHAnsi"/>
        </w:rPr>
        <w:t>ymes score</w:t>
      </w:r>
      <w:r w:rsidR="00844064" w:rsidRPr="00070057">
        <w:rPr>
          <w:rFonts w:asciiTheme="minorHAnsi" w:hAnsiTheme="minorHAnsi" w:cstheme="minorHAnsi"/>
        </w:rPr>
        <w:t>d</w:t>
      </w:r>
      <w:r w:rsidR="00384349" w:rsidRPr="00070057">
        <w:rPr>
          <w:rFonts w:asciiTheme="minorHAnsi" w:hAnsiTheme="minorHAnsi" w:cstheme="minorHAnsi"/>
        </w:rPr>
        <w:t xml:space="preserve"> the lowest</w:t>
      </w:r>
    </w:p>
    <w:p w14:paraId="7B3753A4" w14:textId="133ED11E" w:rsidR="00A01122" w:rsidRDefault="00844064" w:rsidP="00A50980">
      <w:pPr>
        <w:pStyle w:val="ListParagraph"/>
        <w:numPr>
          <w:ilvl w:val="0"/>
          <w:numId w:val="58"/>
        </w:numPr>
        <w:spacing w:line="278" w:lineRule="auto"/>
        <w:rPr>
          <w:rFonts w:asciiTheme="minorHAnsi" w:hAnsiTheme="minorHAnsi" w:cstheme="minorHAnsi"/>
        </w:rPr>
      </w:pPr>
      <w:r w:rsidRPr="00A50980">
        <w:rPr>
          <w:rFonts w:asciiTheme="minorHAnsi" w:hAnsiTheme="minorHAnsi" w:cstheme="minorHAnsi"/>
        </w:rPr>
        <w:t>Confidence that changes in the indicator will show a change in soil health;</w:t>
      </w:r>
      <w:r w:rsidR="00384349" w:rsidRPr="00A50980">
        <w:rPr>
          <w:rFonts w:asciiTheme="minorHAnsi" w:hAnsiTheme="minorHAnsi" w:cstheme="minorHAnsi"/>
        </w:rPr>
        <w:t xml:space="preserve"> </w:t>
      </w:r>
      <w:r w:rsidR="00A01122">
        <w:rPr>
          <w:rFonts w:asciiTheme="minorHAnsi" w:hAnsiTheme="minorHAnsi" w:cstheme="minorHAnsi"/>
        </w:rPr>
        <w:t>e</w:t>
      </w:r>
      <w:r w:rsidR="00384349" w:rsidRPr="00A50980">
        <w:rPr>
          <w:rFonts w:asciiTheme="minorHAnsi" w:hAnsiTheme="minorHAnsi" w:cstheme="minorHAnsi"/>
        </w:rPr>
        <w:t xml:space="preserve">arthworms scored the highest and soil </w:t>
      </w:r>
      <w:proofErr w:type="spellStart"/>
      <w:r w:rsidR="00384349" w:rsidRPr="00A50980">
        <w:rPr>
          <w:rFonts w:asciiTheme="minorHAnsi" w:hAnsiTheme="minorHAnsi" w:cstheme="minorHAnsi"/>
        </w:rPr>
        <w:t>foodweb</w:t>
      </w:r>
      <w:proofErr w:type="spellEnd"/>
      <w:r w:rsidR="00384349" w:rsidRPr="00A50980">
        <w:rPr>
          <w:rFonts w:asciiTheme="minorHAnsi" w:hAnsiTheme="minorHAnsi" w:cstheme="minorHAnsi"/>
        </w:rPr>
        <w:t xml:space="preserve"> score</w:t>
      </w:r>
      <w:r w:rsidRPr="00A50980">
        <w:rPr>
          <w:rFonts w:asciiTheme="minorHAnsi" w:hAnsiTheme="minorHAnsi" w:cstheme="minorHAnsi"/>
        </w:rPr>
        <w:t>d</w:t>
      </w:r>
      <w:r w:rsidR="00384349" w:rsidRPr="00A50980">
        <w:rPr>
          <w:rFonts w:asciiTheme="minorHAnsi" w:hAnsiTheme="minorHAnsi" w:cstheme="minorHAnsi"/>
        </w:rPr>
        <w:t xml:space="preserve"> the lowest</w:t>
      </w:r>
    </w:p>
    <w:p w14:paraId="4AEE52D6" w14:textId="69466FD9" w:rsidR="00A01122" w:rsidRDefault="00844064" w:rsidP="00A50980">
      <w:pPr>
        <w:pStyle w:val="ListParagraph"/>
        <w:numPr>
          <w:ilvl w:val="0"/>
          <w:numId w:val="58"/>
        </w:numPr>
        <w:spacing w:line="278" w:lineRule="auto"/>
        <w:rPr>
          <w:rFonts w:asciiTheme="minorHAnsi" w:hAnsiTheme="minorHAnsi" w:cstheme="minorHAnsi"/>
        </w:rPr>
      </w:pPr>
      <w:r w:rsidRPr="00A01122">
        <w:rPr>
          <w:rFonts w:asciiTheme="minorHAnsi" w:hAnsiTheme="minorHAnsi" w:cstheme="minorHAnsi"/>
        </w:rPr>
        <w:t xml:space="preserve">Samples required to represent </w:t>
      </w:r>
      <w:r w:rsidR="005F5254" w:rsidRPr="00A01122">
        <w:rPr>
          <w:rFonts w:asciiTheme="minorHAnsi" w:hAnsiTheme="minorHAnsi" w:cstheme="minorHAnsi"/>
        </w:rPr>
        <w:t>an</w:t>
      </w:r>
      <w:r w:rsidRPr="00A01122">
        <w:rPr>
          <w:rFonts w:asciiTheme="minorHAnsi" w:hAnsiTheme="minorHAnsi" w:cstheme="minorHAnsi"/>
        </w:rPr>
        <w:t xml:space="preserve"> area</w:t>
      </w:r>
      <w:r w:rsidR="00A01122">
        <w:rPr>
          <w:rFonts w:asciiTheme="minorHAnsi" w:hAnsiTheme="minorHAnsi" w:cstheme="minorHAnsi"/>
        </w:rPr>
        <w:t>;</w:t>
      </w:r>
      <w:r w:rsidR="0045718A" w:rsidRPr="00A01122">
        <w:rPr>
          <w:rFonts w:asciiTheme="minorHAnsi" w:hAnsiTheme="minorHAnsi" w:cstheme="minorHAnsi"/>
        </w:rPr>
        <w:t xml:space="preserve"> </w:t>
      </w:r>
      <w:r w:rsidR="00A01122">
        <w:rPr>
          <w:rFonts w:asciiTheme="minorHAnsi" w:hAnsiTheme="minorHAnsi" w:cstheme="minorHAnsi"/>
        </w:rPr>
        <w:t>e</w:t>
      </w:r>
      <w:r w:rsidR="0045718A" w:rsidRPr="00A01122">
        <w:rPr>
          <w:rFonts w:asciiTheme="minorHAnsi" w:hAnsiTheme="minorHAnsi" w:cstheme="minorHAnsi"/>
        </w:rPr>
        <w:t>arthworms and PMN scored the highest and enzymes and PLFA scored the lowest</w:t>
      </w:r>
    </w:p>
    <w:p w14:paraId="0602E303" w14:textId="326547AC" w:rsidR="0045718A" w:rsidRPr="00A50980" w:rsidRDefault="00A156EC" w:rsidP="00A50980">
      <w:pPr>
        <w:pStyle w:val="ListParagraph"/>
        <w:numPr>
          <w:ilvl w:val="0"/>
          <w:numId w:val="58"/>
        </w:numPr>
        <w:spacing w:line="278" w:lineRule="auto"/>
        <w:rPr>
          <w:rFonts w:asciiTheme="minorHAnsi" w:hAnsiTheme="minorHAnsi" w:cstheme="minorHAnsi"/>
        </w:rPr>
      </w:pPr>
      <w:r w:rsidRPr="00A50980">
        <w:rPr>
          <w:rFonts w:asciiTheme="minorHAnsi" w:hAnsiTheme="minorHAnsi" w:cstheme="minorHAnsi"/>
        </w:rPr>
        <w:t>Confidence in indicator sensitivity to management change</w:t>
      </w:r>
      <w:r w:rsidR="00A01122">
        <w:rPr>
          <w:rFonts w:asciiTheme="minorHAnsi" w:hAnsiTheme="minorHAnsi" w:cstheme="minorHAnsi"/>
        </w:rPr>
        <w:t>;</w:t>
      </w:r>
      <w:r w:rsidR="0045718A" w:rsidRPr="00A50980">
        <w:rPr>
          <w:rFonts w:asciiTheme="minorHAnsi" w:hAnsiTheme="minorHAnsi" w:cstheme="minorHAnsi"/>
        </w:rPr>
        <w:t xml:space="preserve"> </w:t>
      </w:r>
      <w:r w:rsidR="00A01122">
        <w:rPr>
          <w:rFonts w:asciiTheme="minorHAnsi" w:hAnsiTheme="minorHAnsi" w:cstheme="minorHAnsi"/>
        </w:rPr>
        <w:t>e</w:t>
      </w:r>
      <w:r w:rsidR="0045718A" w:rsidRPr="00A50980">
        <w:rPr>
          <w:rFonts w:asciiTheme="minorHAnsi" w:hAnsiTheme="minorHAnsi" w:cstheme="minorHAnsi"/>
        </w:rPr>
        <w:t xml:space="preserve">arthworms scored the highest and soil </w:t>
      </w:r>
      <w:proofErr w:type="spellStart"/>
      <w:r w:rsidR="0045718A" w:rsidRPr="00A50980">
        <w:rPr>
          <w:rFonts w:asciiTheme="minorHAnsi" w:hAnsiTheme="minorHAnsi" w:cstheme="minorHAnsi"/>
        </w:rPr>
        <w:t>foodweb</w:t>
      </w:r>
      <w:proofErr w:type="spellEnd"/>
      <w:r w:rsidR="0045718A" w:rsidRPr="00A50980">
        <w:rPr>
          <w:rFonts w:asciiTheme="minorHAnsi" w:hAnsiTheme="minorHAnsi" w:cstheme="minorHAnsi"/>
        </w:rPr>
        <w:t>, enzymes and PLFA scored the lowest</w:t>
      </w:r>
    </w:p>
    <w:p w14:paraId="53B089EC" w14:textId="00EB8232" w:rsidR="0045718A" w:rsidRPr="00A50980" w:rsidRDefault="00A156EC" w:rsidP="00A50980">
      <w:pPr>
        <w:pStyle w:val="ListParagraph"/>
        <w:numPr>
          <w:ilvl w:val="0"/>
          <w:numId w:val="58"/>
        </w:numPr>
        <w:spacing w:line="278" w:lineRule="auto"/>
        <w:rPr>
          <w:rFonts w:asciiTheme="minorHAnsi" w:hAnsiTheme="minorHAnsi" w:cstheme="minorHAnsi"/>
        </w:rPr>
      </w:pPr>
      <w:r w:rsidRPr="00A50980">
        <w:rPr>
          <w:rFonts w:asciiTheme="minorHAnsi" w:hAnsiTheme="minorHAnsi" w:cstheme="minorHAnsi"/>
        </w:rPr>
        <w:t>Confidence that the indicator results are useful to farmers (u</w:t>
      </w:r>
      <w:r w:rsidR="0045718A" w:rsidRPr="00A50980">
        <w:rPr>
          <w:rFonts w:asciiTheme="minorHAnsi" w:hAnsiTheme="minorHAnsi" w:cstheme="minorHAnsi"/>
        </w:rPr>
        <w:t>tility</w:t>
      </w:r>
      <w:r w:rsidRPr="00A50980">
        <w:rPr>
          <w:rFonts w:asciiTheme="minorHAnsi" w:hAnsiTheme="minorHAnsi" w:cstheme="minorHAnsi"/>
        </w:rPr>
        <w:t>)</w:t>
      </w:r>
      <w:r w:rsidR="00A01122">
        <w:rPr>
          <w:rFonts w:asciiTheme="minorHAnsi" w:hAnsiTheme="minorHAnsi" w:cstheme="minorHAnsi"/>
        </w:rPr>
        <w:t>;</w:t>
      </w:r>
      <w:r w:rsidR="0045718A" w:rsidRPr="00A50980">
        <w:rPr>
          <w:rFonts w:asciiTheme="minorHAnsi" w:hAnsiTheme="minorHAnsi" w:cstheme="minorHAnsi"/>
        </w:rPr>
        <w:t xml:space="preserve"> </w:t>
      </w:r>
      <w:r w:rsidR="00A01122">
        <w:rPr>
          <w:rFonts w:asciiTheme="minorHAnsi" w:hAnsiTheme="minorHAnsi" w:cstheme="minorHAnsi"/>
        </w:rPr>
        <w:t>e</w:t>
      </w:r>
      <w:r w:rsidR="0045718A" w:rsidRPr="00A50980">
        <w:rPr>
          <w:rFonts w:asciiTheme="minorHAnsi" w:hAnsiTheme="minorHAnsi" w:cstheme="minorHAnsi"/>
        </w:rPr>
        <w:t>art</w:t>
      </w:r>
      <w:r w:rsidRPr="00A50980">
        <w:rPr>
          <w:rFonts w:asciiTheme="minorHAnsi" w:hAnsiTheme="minorHAnsi" w:cstheme="minorHAnsi"/>
        </w:rPr>
        <w:t>h</w:t>
      </w:r>
      <w:r w:rsidR="0045718A" w:rsidRPr="00A50980">
        <w:rPr>
          <w:rFonts w:asciiTheme="minorHAnsi" w:hAnsiTheme="minorHAnsi" w:cstheme="minorHAnsi"/>
        </w:rPr>
        <w:t>worms scored the highest and enzymes and PLFA scored the lowest,</w:t>
      </w:r>
    </w:p>
    <w:p w14:paraId="581B86C0" w14:textId="1D9948C5" w:rsidR="00F26291" w:rsidRPr="00EE616B" w:rsidRDefault="00F26291" w:rsidP="00EE616B">
      <w:pPr>
        <w:spacing w:line="278" w:lineRule="auto"/>
        <w:rPr>
          <w:rFonts w:asciiTheme="minorHAnsi" w:hAnsiTheme="minorHAnsi" w:cstheme="minorHAnsi"/>
        </w:rPr>
      </w:pPr>
      <w:r w:rsidRPr="00EE616B">
        <w:rPr>
          <w:rFonts w:asciiTheme="minorHAnsi" w:hAnsiTheme="minorHAnsi" w:cstheme="minorHAnsi"/>
        </w:rPr>
        <w:t>Overall pattern</w:t>
      </w:r>
      <w:r w:rsidR="00630F69">
        <w:rPr>
          <w:rFonts w:asciiTheme="minorHAnsi" w:hAnsiTheme="minorHAnsi" w:cstheme="minorHAnsi"/>
        </w:rPr>
        <w:t>:</w:t>
      </w:r>
    </w:p>
    <w:p w14:paraId="330D48F2" w14:textId="145172E3" w:rsidR="00F26291" w:rsidRPr="00EE616B" w:rsidRDefault="00F26291" w:rsidP="00EE616B">
      <w:pPr>
        <w:spacing w:line="278" w:lineRule="auto"/>
        <w:rPr>
          <w:rFonts w:asciiTheme="minorHAnsi" w:hAnsiTheme="minorHAnsi" w:cstheme="minorHAnsi"/>
        </w:rPr>
      </w:pPr>
      <w:r w:rsidRPr="00EE616B">
        <w:rPr>
          <w:rFonts w:asciiTheme="minorHAnsi" w:hAnsiTheme="minorHAnsi" w:cstheme="minorHAnsi"/>
        </w:rPr>
        <w:t xml:space="preserve">Physical and biological indicators such as </w:t>
      </w:r>
      <w:r>
        <w:rPr>
          <w:rFonts w:asciiTheme="minorHAnsi" w:hAnsiTheme="minorHAnsi" w:cstheme="minorHAnsi"/>
        </w:rPr>
        <w:t xml:space="preserve">earthworms, </w:t>
      </w:r>
      <w:r w:rsidRPr="00EE616B">
        <w:rPr>
          <w:rFonts w:asciiTheme="minorHAnsi" w:hAnsiTheme="minorHAnsi" w:cstheme="minorHAnsi"/>
        </w:rPr>
        <w:t xml:space="preserve">aggregate stability, </w:t>
      </w:r>
      <w:r w:rsidR="0077174E">
        <w:rPr>
          <w:rFonts w:asciiTheme="minorHAnsi" w:hAnsiTheme="minorHAnsi" w:cstheme="minorHAnsi"/>
        </w:rPr>
        <w:t>crop rooting, PMN and CO</w:t>
      </w:r>
      <w:r w:rsidR="0077174E" w:rsidRPr="00EE616B">
        <w:rPr>
          <w:rFonts w:asciiTheme="minorHAnsi" w:hAnsiTheme="minorHAnsi" w:cstheme="minorHAnsi"/>
          <w:vertAlign w:val="subscript"/>
        </w:rPr>
        <w:t>2</w:t>
      </w:r>
      <w:r w:rsidR="0077174E">
        <w:rPr>
          <w:rFonts w:asciiTheme="minorHAnsi" w:hAnsiTheme="minorHAnsi" w:cstheme="minorHAnsi"/>
        </w:rPr>
        <w:t xml:space="preserve"> burst</w:t>
      </w:r>
      <w:r w:rsidR="00EE616B">
        <w:rPr>
          <w:rFonts w:asciiTheme="minorHAnsi" w:hAnsiTheme="minorHAnsi" w:cstheme="minorHAnsi"/>
        </w:rPr>
        <w:t xml:space="preserve"> are</w:t>
      </w:r>
      <w:r w:rsidR="00907935">
        <w:rPr>
          <w:rFonts w:asciiTheme="minorHAnsi" w:hAnsiTheme="minorHAnsi" w:cstheme="minorHAnsi"/>
        </w:rPr>
        <w:t xml:space="preserve"> scored the </w:t>
      </w:r>
      <w:r w:rsidRPr="00EE616B">
        <w:rPr>
          <w:rFonts w:asciiTheme="minorHAnsi" w:hAnsiTheme="minorHAnsi" w:cstheme="minorHAnsi"/>
        </w:rPr>
        <w:t>highest.</w:t>
      </w:r>
    </w:p>
    <w:p w14:paraId="1FB4338C" w14:textId="209C4EF5" w:rsidR="00F26291" w:rsidRPr="00EE616B" w:rsidRDefault="00F26291" w:rsidP="00EE616B">
      <w:pPr>
        <w:spacing w:line="278" w:lineRule="auto"/>
        <w:rPr>
          <w:rFonts w:asciiTheme="minorHAnsi" w:hAnsiTheme="minorHAnsi" w:cstheme="minorHAnsi"/>
        </w:rPr>
      </w:pPr>
      <w:r w:rsidRPr="00EE616B">
        <w:rPr>
          <w:rFonts w:asciiTheme="minorHAnsi" w:hAnsiTheme="minorHAnsi" w:cstheme="minorHAnsi"/>
        </w:rPr>
        <w:t xml:space="preserve">More complex or laboratory-based measures, such as </w:t>
      </w:r>
      <w:r w:rsidR="0077174E">
        <w:rPr>
          <w:rFonts w:asciiTheme="minorHAnsi" w:hAnsiTheme="minorHAnsi" w:cstheme="minorHAnsi"/>
        </w:rPr>
        <w:t>functional genes</w:t>
      </w:r>
      <w:r w:rsidR="00EE616B">
        <w:rPr>
          <w:rFonts w:asciiTheme="minorHAnsi" w:hAnsiTheme="minorHAnsi" w:cstheme="minorHAnsi"/>
        </w:rPr>
        <w:t>,</w:t>
      </w:r>
      <w:r w:rsidR="0077174E">
        <w:rPr>
          <w:rFonts w:asciiTheme="minorHAnsi" w:hAnsiTheme="minorHAnsi" w:cstheme="minorHAnsi"/>
        </w:rPr>
        <w:t xml:space="preserve"> </w:t>
      </w:r>
      <w:r w:rsidR="00907935">
        <w:rPr>
          <w:rFonts w:asciiTheme="minorHAnsi" w:hAnsiTheme="minorHAnsi" w:cstheme="minorHAnsi"/>
        </w:rPr>
        <w:t xml:space="preserve">soil </w:t>
      </w:r>
      <w:proofErr w:type="spellStart"/>
      <w:r w:rsidR="00907935">
        <w:rPr>
          <w:rFonts w:asciiTheme="minorHAnsi" w:hAnsiTheme="minorHAnsi" w:cstheme="minorHAnsi"/>
        </w:rPr>
        <w:t>foodweb</w:t>
      </w:r>
      <w:proofErr w:type="spellEnd"/>
      <w:r w:rsidR="00907935">
        <w:rPr>
          <w:rFonts w:asciiTheme="minorHAnsi" w:hAnsiTheme="minorHAnsi" w:cstheme="minorHAnsi"/>
        </w:rPr>
        <w:t xml:space="preserve">, </w:t>
      </w:r>
      <w:r w:rsidR="00EE616B">
        <w:rPr>
          <w:rFonts w:asciiTheme="minorHAnsi" w:hAnsiTheme="minorHAnsi" w:cstheme="minorHAnsi"/>
        </w:rPr>
        <w:t xml:space="preserve">enzymes and </w:t>
      </w:r>
      <w:r w:rsidRPr="00EE616B">
        <w:rPr>
          <w:rFonts w:asciiTheme="minorHAnsi" w:hAnsiTheme="minorHAnsi" w:cstheme="minorHAnsi"/>
        </w:rPr>
        <w:t xml:space="preserve">PLFA </w:t>
      </w:r>
      <w:r w:rsidR="00EE616B">
        <w:rPr>
          <w:rFonts w:asciiTheme="minorHAnsi" w:hAnsiTheme="minorHAnsi" w:cstheme="minorHAnsi"/>
        </w:rPr>
        <w:t>are scored the</w:t>
      </w:r>
      <w:r w:rsidRPr="00EE616B">
        <w:rPr>
          <w:rFonts w:asciiTheme="minorHAnsi" w:hAnsiTheme="minorHAnsi" w:cstheme="minorHAnsi"/>
        </w:rPr>
        <w:t xml:space="preserve"> lowe</w:t>
      </w:r>
      <w:r w:rsidR="00EE616B">
        <w:rPr>
          <w:rFonts w:asciiTheme="minorHAnsi" w:hAnsiTheme="minorHAnsi" w:cstheme="minorHAnsi"/>
        </w:rPr>
        <w:t>st</w:t>
      </w:r>
      <w:r w:rsidRPr="00EE616B">
        <w:rPr>
          <w:rFonts w:asciiTheme="minorHAnsi" w:hAnsiTheme="minorHAnsi" w:cstheme="minorHAnsi"/>
        </w:rPr>
        <w:t>.</w:t>
      </w:r>
    </w:p>
    <w:p w14:paraId="5C992620" w14:textId="0F37CB33" w:rsidR="00B404D1" w:rsidRDefault="00661E94" w:rsidP="00AC7014">
      <w:pPr>
        <w:rPr>
          <w:rFonts w:asciiTheme="minorHAnsi" w:hAnsiTheme="minorHAnsi" w:cstheme="minorHAnsi"/>
        </w:rPr>
      </w:pPr>
      <w:r w:rsidRPr="00EB1D71">
        <w:rPr>
          <w:rFonts w:asciiTheme="minorHAnsi" w:hAnsiTheme="minorHAnsi" w:cstheme="minorHAnsi"/>
        </w:rPr>
        <w:t xml:space="preserve">This is in a large part attributable to the knowledge gaps associated with the indicators included. In each question of the survey, participants were given the option to state where they felt that they did not have enough knowledge of the indicator to assess it against the criteria (unknown). Enzymes, Functional Genes, PLFA and Soil </w:t>
      </w:r>
      <w:proofErr w:type="spellStart"/>
      <w:r w:rsidRPr="00EB1D71">
        <w:rPr>
          <w:rFonts w:asciiTheme="minorHAnsi" w:hAnsiTheme="minorHAnsi" w:cstheme="minorHAnsi"/>
        </w:rPr>
        <w:t>Foodweb</w:t>
      </w:r>
      <w:proofErr w:type="spellEnd"/>
      <w:r w:rsidRPr="00EB1D71">
        <w:rPr>
          <w:rFonts w:asciiTheme="minorHAnsi" w:hAnsiTheme="minorHAnsi" w:cstheme="minorHAnsi"/>
        </w:rPr>
        <w:t xml:space="preserve"> had the highest number of “unknown” responses to the questions given in the survey </w:t>
      </w:r>
      <w:r w:rsidR="003C2322">
        <w:rPr>
          <w:rFonts w:asciiTheme="minorHAnsi" w:hAnsiTheme="minorHAnsi" w:cstheme="minorHAnsi"/>
        </w:rPr>
        <w:t xml:space="preserve">and earthworms and PMN </w:t>
      </w:r>
      <w:r w:rsidR="00630F69">
        <w:rPr>
          <w:rFonts w:asciiTheme="minorHAnsi" w:hAnsiTheme="minorHAnsi" w:cstheme="minorHAnsi"/>
        </w:rPr>
        <w:t xml:space="preserve">had </w:t>
      </w:r>
      <w:r w:rsidR="003C2322">
        <w:rPr>
          <w:rFonts w:asciiTheme="minorHAnsi" w:hAnsiTheme="minorHAnsi" w:cstheme="minorHAnsi"/>
        </w:rPr>
        <w:t>the lowest</w:t>
      </w:r>
      <w:r w:rsidR="003C2322" w:rsidRPr="00EB1D71">
        <w:rPr>
          <w:rFonts w:asciiTheme="minorHAnsi" w:hAnsiTheme="minorHAnsi" w:cstheme="minorHAnsi"/>
        </w:rPr>
        <w:t xml:space="preserve"> </w:t>
      </w:r>
      <w:r w:rsidRPr="00EB1D71">
        <w:rPr>
          <w:rFonts w:asciiTheme="minorHAnsi" w:hAnsiTheme="minorHAnsi" w:cstheme="minorHAnsi"/>
        </w:rPr>
        <w:t>(</w:t>
      </w:r>
      <w:r w:rsidR="009A568B" w:rsidRPr="00EB1D71">
        <w:rPr>
          <w:rStyle w:val="TableHyperlink"/>
          <w:rFonts w:asciiTheme="minorHAnsi" w:hAnsiTheme="minorHAnsi" w:cstheme="minorHAnsi"/>
        </w:rPr>
        <w:fldChar w:fldCharType="begin"/>
      </w:r>
      <w:r w:rsidR="009A568B" w:rsidRPr="00EB1D71">
        <w:rPr>
          <w:rStyle w:val="TableHyperlink"/>
          <w:rFonts w:asciiTheme="minorHAnsi" w:hAnsiTheme="minorHAnsi" w:cstheme="minorHAnsi"/>
        </w:rPr>
        <w:instrText xml:space="preserve"> REF _Ref229662063 \h </w:instrText>
      </w:r>
      <w:r w:rsidR="00735BB6" w:rsidRPr="00EB1D71">
        <w:rPr>
          <w:rStyle w:val="TableHyperlink"/>
          <w:rFonts w:asciiTheme="minorHAnsi" w:hAnsiTheme="minorHAnsi" w:cstheme="minorHAnsi"/>
        </w:rPr>
        <w:instrText xml:space="preserve"> \* MERGEFORMAT </w:instrText>
      </w:r>
      <w:r w:rsidR="009A568B" w:rsidRPr="00EB1D71">
        <w:rPr>
          <w:rStyle w:val="TableHyperlink"/>
          <w:rFonts w:asciiTheme="minorHAnsi" w:hAnsiTheme="minorHAnsi" w:cstheme="minorHAnsi"/>
        </w:rPr>
      </w:r>
      <w:r w:rsidR="009A568B" w:rsidRPr="00EB1D71">
        <w:rPr>
          <w:rStyle w:val="TableHyperlink"/>
          <w:rFonts w:asciiTheme="minorHAnsi" w:hAnsiTheme="minorHAnsi" w:cstheme="minorHAnsi"/>
        </w:rPr>
        <w:fldChar w:fldCharType="separate"/>
      </w:r>
      <w:r w:rsidR="009A568B" w:rsidRPr="00EB1D71">
        <w:rPr>
          <w:rStyle w:val="TableHyperlink"/>
          <w:rFonts w:asciiTheme="minorHAnsi" w:hAnsiTheme="minorHAnsi" w:cstheme="minorHAnsi"/>
        </w:rPr>
        <w:t>Figure 14</w:t>
      </w:r>
      <w:r w:rsidR="009A568B" w:rsidRPr="00EB1D71">
        <w:rPr>
          <w:rStyle w:val="TableHyperlink"/>
          <w:rFonts w:asciiTheme="minorHAnsi" w:hAnsiTheme="minorHAnsi" w:cstheme="minorHAnsi"/>
        </w:rPr>
        <w:fldChar w:fldCharType="end"/>
      </w:r>
      <w:r w:rsidRPr="00EB1D71">
        <w:rPr>
          <w:rFonts w:asciiTheme="minorHAnsi" w:hAnsiTheme="minorHAnsi" w:cstheme="minorHAnsi"/>
        </w:rPr>
        <w:t>)</w:t>
      </w:r>
    </w:p>
    <w:p w14:paraId="5C2C8824" w14:textId="01BAEC56" w:rsidR="009A568B" w:rsidRPr="00EB1D71" w:rsidRDefault="009A568B" w:rsidP="009A568B">
      <w:pPr>
        <w:pStyle w:val="Caption"/>
        <w:keepNext/>
        <w:rPr>
          <w:rFonts w:asciiTheme="minorHAnsi" w:hAnsiTheme="minorHAnsi" w:cstheme="minorHAnsi"/>
        </w:rPr>
      </w:pPr>
      <w:bookmarkStart w:id="121" w:name="_Ref229662063"/>
      <w:r w:rsidRPr="00EB1D71">
        <w:rPr>
          <w:rFonts w:asciiTheme="minorHAnsi" w:hAnsiTheme="minorHAnsi" w:cstheme="minorHAnsi"/>
        </w:rPr>
        <w:t xml:space="preserve">Figure </w:t>
      </w:r>
      <w:r w:rsidR="007D3945">
        <w:rPr>
          <w:rFonts w:asciiTheme="minorHAnsi" w:hAnsiTheme="minorHAnsi" w:cstheme="minorHAnsi"/>
        </w:rPr>
        <w:fldChar w:fldCharType="begin"/>
      </w:r>
      <w:r w:rsidR="007D3945">
        <w:rPr>
          <w:rFonts w:asciiTheme="minorHAnsi" w:hAnsiTheme="minorHAnsi" w:cstheme="minorHAnsi"/>
        </w:rPr>
        <w:instrText xml:space="preserve"> SEQ Figure \* ARABIC </w:instrText>
      </w:r>
      <w:r w:rsidR="007D3945">
        <w:rPr>
          <w:rFonts w:asciiTheme="minorHAnsi" w:hAnsiTheme="minorHAnsi" w:cstheme="minorHAnsi"/>
        </w:rPr>
        <w:fldChar w:fldCharType="separate"/>
      </w:r>
      <w:r w:rsidR="007D3945">
        <w:rPr>
          <w:rFonts w:asciiTheme="minorHAnsi" w:hAnsiTheme="minorHAnsi" w:cstheme="minorHAnsi"/>
          <w:noProof/>
        </w:rPr>
        <w:t>14</w:t>
      </w:r>
      <w:r w:rsidR="007D3945">
        <w:rPr>
          <w:rFonts w:asciiTheme="minorHAnsi" w:hAnsiTheme="minorHAnsi" w:cstheme="minorHAnsi"/>
        </w:rPr>
        <w:fldChar w:fldCharType="end"/>
      </w:r>
      <w:bookmarkEnd w:id="121"/>
      <w:r w:rsidRPr="00EB1D71">
        <w:rPr>
          <w:rFonts w:asciiTheme="minorHAnsi" w:hAnsiTheme="minorHAnsi" w:cstheme="minorHAnsi"/>
        </w:rPr>
        <w:t xml:space="preserve">. Total number of </w:t>
      </w:r>
      <w:r w:rsidR="00110392" w:rsidRPr="00EB1D71">
        <w:rPr>
          <w:rFonts w:asciiTheme="minorHAnsi" w:hAnsiTheme="minorHAnsi" w:cstheme="minorHAnsi"/>
        </w:rPr>
        <w:t xml:space="preserve">responses for each indicator where participants felt they did not know enough about the indicator to be able to assess it </w:t>
      </w:r>
      <w:r w:rsidR="0029452F">
        <w:rPr>
          <w:rFonts w:asciiTheme="minorHAnsi" w:hAnsiTheme="minorHAnsi" w:cstheme="minorHAnsi"/>
        </w:rPr>
        <w:t xml:space="preserve">against </w:t>
      </w:r>
      <w:r w:rsidR="00630F69">
        <w:rPr>
          <w:rFonts w:asciiTheme="minorHAnsi" w:hAnsiTheme="minorHAnsi" w:cstheme="minorHAnsi"/>
        </w:rPr>
        <w:t>each criterion</w:t>
      </w:r>
      <w:r w:rsidR="0029452F">
        <w:rPr>
          <w:rFonts w:asciiTheme="minorHAnsi" w:hAnsiTheme="minorHAnsi" w:cstheme="minorHAnsi"/>
        </w:rPr>
        <w:t xml:space="preserve"> </w:t>
      </w:r>
      <w:r w:rsidR="00110392" w:rsidRPr="00EB1D71">
        <w:rPr>
          <w:rFonts w:asciiTheme="minorHAnsi" w:hAnsiTheme="minorHAnsi" w:cstheme="minorHAnsi"/>
        </w:rPr>
        <w:t>(“unknowns”).</w:t>
      </w:r>
    </w:p>
    <w:p w14:paraId="064EEB6F" w14:textId="553BA1FF" w:rsidR="00B404D1" w:rsidRPr="00EB1D71" w:rsidRDefault="00661E94" w:rsidP="00B404D1">
      <w:pPr>
        <w:spacing w:after="0" w:line="360" w:lineRule="auto"/>
        <w:rPr>
          <w:rFonts w:asciiTheme="minorHAnsi" w:hAnsiTheme="minorHAnsi" w:cstheme="minorHAnsi"/>
        </w:rPr>
      </w:pPr>
      <w:r w:rsidRPr="00EB1D71">
        <w:rPr>
          <w:rFonts w:asciiTheme="minorHAnsi" w:hAnsiTheme="minorHAnsi" w:cstheme="minorHAnsi"/>
          <w:noProof/>
        </w:rPr>
        <w:drawing>
          <wp:inline distT="0" distB="0" distL="0" distR="0" wp14:anchorId="6BC2A48D" wp14:editId="7189541C">
            <wp:extent cx="5759450" cy="2188935"/>
            <wp:effectExtent l="19050" t="19050" r="12700" b="20955"/>
            <wp:docPr id="1385905874" name="Picture 3" descr="Bar chart showing the total number of &quot;unknown&quot; responses to the seven criteria for each indicator in the workshop. Earthworms and PMN had no knowledge gaps whilst enzymes and PLFA had 20 &quot;unknown&quot;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905874" name="Picture 3" descr="Bar chart showing the total number of &quot;unknown&quot; responses to the seven criteria for each indicator in the workshop. Earthworms and PMN had no knowledge gaps whilst enzymes and PLFA had 20 &quot;unknown&quot; responses.  "/>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5759450" cy="2188935"/>
                    </a:xfrm>
                    <a:prstGeom prst="rect">
                      <a:avLst/>
                    </a:prstGeom>
                    <a:noFill/>
                    <a:ln>
                      <a:solidFill>
                        <a:schemeClr val="bg1">
                          <a:lumMod val="75000"/>
                        </a:schemeClr>
                      </a:solidFill>
                    </a:ln>
                  </pic:spPr>
                </pic:pic>
              </a:graphicData>
            </a:graphic>
          </wp:inline>
        </w:drawing>
      </w:r>
    </w:p>
    <w:p w14:paraId="529F7374" w14:textId="77777777" w:rsidR="003C2322" w:rsidRDefault="003C2322" w:rsidP="003C2322">
      <w:pPr>
        <w:rPr>
          <w:rFonts w:asciiTheme="minorHAnsi" w:hAnsiTheme="minorHAnsi" w:cstheme="minorHAnsi"/>
        </w:rPr>
      </w:pPr>
      <w:r w:rsidRPr="006A59D0">
        <w:rPr>
          <w:rFonts w:asciiTheme="minorHAnsi" w:hAnsiTheme="minorHAnsi" w:cstheme="minorHAnsi"/>
        </w:rPr>
        <w:t xml:space="preserve">From highest to lowest, the number of “unknown” responses </w:t>
      </w:r>
      <w:r>
        <w:rPr>
          <w:rFonts w:asciiTheme="minorHAnsi" w:hAnsiTheme="minorHAnsi" w:cstheme="minorHAnsi"/>
        </w:rPr>
        <w:t>we</w:t>
      </w:r>
      <w:r w:rsidRPr="006A59D0">
        <w:rPr>
          <w:rFonts w:asciiTheme="minorHAnsi" w:hAnsiTheme="minorHAnsi" w:cstheme="minorHAnsi"/>
        </w:rPr>
        <w:t xml:space="preserve">re; Enzymes and PLFA indicators </w:t>
      </w:r>
      <w:r>
        <w:rPr>
          <w:rFonts w:asciiTheme="minorHAnsi" w:hAnsiTheme="minorHAnsi" w:cstheme="minorHAnsi"/>
        </w:rPr>
        <w:t xml:space="preserve">(joint highest) </w:t>
      </w:r>
      <w:r w:rsidRPr="006A59D0">
        <w:rPr>
          <w:rFonts w:asciiTheme="minorHAnsi" w:hAnsiTheme="minorHAnsi" w:cstheme="minorHAnsi"/>
        </w:rPr>
        <w:t xml:space="preserve">with over 20, followed by Soil </w:t>
      </w:r>
      <w:proofErr w:type="spellStart"/>
      <w:r w:rsidRPr="006A59D0">
        <w:rPr>
          <w:rFonts w:asciiTheme="minorHAnsi" w:hAnsiTheme="minorHAnsi" w:cstheme="minorHAnsi"/>
        </w:rPr>
        <w:t>Foodweb</w:t>
      </w:r>
      <w:proofErr w:type="spellEnd"/>
      <w:r w:rsidRPr="006A59D0">
        <w:rPr>
          <w:rFonts w:asciiTheme="minorHAnsi" w:hAnsiTheme="minorHAnsi" w:cstheme="minorHAnsi"/>
        </w:rPr>
        <w:t xml:space="preserve"> and functional genes (over 15). </w:t>
      </w:r>
      <w:r>
        <w:rPr>
          <w:rFonts w:asciiTheme="minorHAnsi" w:hAnsiTheme="minorHAnsi" w:cstheme="minorHAnsi"/>
        </w:rPr>
        <w:t>Between 5 and 10 “Unknown” responses were received for s</w:t>
      </w:r>
      <w:r w:rsidRPr="006A59D0">
        <w:rPr>
          <w:rFonts w:asciiTheme="minorHAnsi" w:hAnsiTheme="minorHAnsi" w:cstheme="minorHAnsi"/>
        </w:rPr>
        <w:t>oil C fractions, aggregates and crop roots</w:t>
      </w:r>
      <w:r>
        <w:rPr>
          <w:rFonts w:asciiTheme="minorHAnsi" w:hAnsiTheme="minorHAnsi" w:cstheme="minorHAnsi"/>
        </w:rPr>
        <w:t xml:space="preserve">, whilst </w:t>
      </w:r>
      <w:r w:rsidRPr="006A59D0">
        <w:rPr>
          <w:rFonts w:asciiTheme="minorHAnsi" w:hAnsiTheme="minorHAnsi" w:cstheme="minorHAnsi"/>
        </w:rPr>
        <w:t>CO</w:t>
      </w:r>
      <w:r w:rsidRPr="001370EC">
        <w:rPr>
          <w:rFonts w:asciiTheme="minorHAnsi" w:hAnsiTheme="minorHAnsi" w:cstheme="minorHAnsi"/>
          <w:vertAlign w:val="subscript"/>
        </w:rPr>
        <w:t>2</w:t>
      </w:r>
      <w:r w:rsidRPr="006A59D0">
        <w:rPr>
          <w:rFonts w:asciiTheme="minorHAnsi" w:hAnsiTheme="minorHAnsi" w:cstheme="minorHAnsi"/>
        </w:rPr>
        <w:t xml:space="preserve"> burst had less than 5 responses </w:t>
      </w:r>
      <w:r>
        <w:rPr>
          <w:rFonts w:asciiTheme="minorHAnsi" w:hAnsiTheme="minorHAnsi" w:cstheme="minorHAnsi"/>
        </w:rPr>
        <w:t xml:space="preserve">and </w:t>
      </w:r>
      <w:r w:rsidRPr="006A59D0">
        <w:rPr>
          <w:rFonts w:asciiTheme="minorHAnsi" w:hAnsiTheme="minorHAnsi" w:cstheme="minorHAnsi"/>
        </w:rPr>
        <w:t xml:space="preserve">Earthworms and PMN had no </w:t>
      </w:r>
      <w:r>
        <w:rPr>
          <w:rFonts w:asciiTheme="minorHAnsi" w:hAnsiTheme="minorHAnsi" w:cstheme="minorHAnsi"/>
        </w:rPr>
        <w:t>“</w:t>
      </w:r>
      <w:r w:rsidRPr="006A59D0">
        <w:rPr>
          <w:rFonts w:asciiTheme="minorHAnsi" w:hAnsiTheme="minorHAnsi" w:cstheme="minorHAnsi"/>
        </w:rPr>
        <w:t>unknown</w:t>
      </w:r>
      <w:r>
        <w:rPr>
          <w:rFonts w:asciiTheme="minorHAnsi" w:hAnsiTheme="minorHAnsi" w:cstheme="minorHAnsi"/>
        </w:rPr>
        <w:t>”</w:t>
      </w:r>
      <w:r w:rsidRPr="006A59D0">
        <w:rPr>
          <w:rFonts w:asciiTheme="minorHAnsi" w:hAnsiTheme="minorHAnsi" w:cstheme="minorHAnsi"/>
        </w:rPr>
        <w:t xml:space="preserve"> responses.</w:t>
      </w:r>
    </w:p>
    <w:p w14:paraId="4A1D017B" w14:textId="77777777" w:rsidR="003C2322" w:rsidRPr="00EB1D71" w:rsidRDefault="003C2322" w:rsidP="003C2322">
      <w:pPr>
        <w:rPr>
          <w:rFonts w:asciiTheme="minorHAnsi" w:hAnsiTheme="minorHAnsi" w:cstheme="minorHAnsi"/>
        </w:rPr>
      </w:pPr>
      <w:proofErr w:type="gramStart"/>
      <w:r>
        <w:rPr>
          <w:rFonts w:asciiTheme="minorHAnsi" w:hAnsiTheme="minorHAnsi" w:cstheme="minorHAnsi"/>
        </w:rPr>
        <w:t>Overall</w:t>
      </w:r>
      <w:proofErr w:type="gramEnd"/>
      <w:r>
        <w:rPr>
          <w:rFonts w:asciiTheme="minorHAnsi" w:hAnsiTheme="minorHAnsi" w:cstheme="minorHAnsi"/>
        </w:rPr>
        <w:t xml:space="preserve"> the more complex biological tests (enzymes, functional genes, PLFA and soil </w:t>
      </w:r>
      <w:proofErr w:type="spellStart"/>
      <w:r>
        <w:rPr>
          <w:rFonts w:asciiTheme="minorHAnsi" w:hAnsiTheme="minorHAnsi" w:cstheme="minorHAnsi"/>
        </w:rPr>
        <w:t>foodweb</w:t>
      </w:r>
      <w:proofErr w:type="spellEnd"/>
      <w:r>
        <w:rPr>
          <w:rFonts w:asciiTheme="minorHAnsi" w:hAnsiTheme="minorHAnsi" w:cstheme="minorHAnsi"/>
        </w:rPr>
        <w:t>) had the highest number of “unknown” responses. Whilst more established biological methods (CO</w:t>
      </w:r>
      <w:r w:rsidRPr="00282521">
        <w:rPr>
          <w:rFonts w:asciiTheme="minorHAnsi" w:hAnsiTheme="minorHAnsi" w:cstheme="minorHAnsi"/>
          <w:vertAlign w:val="subscript"/>
        </w:rPr>
        <w:t>2</w:t>
      </w:r>
      <w:r>
        <w:rPr>
          <w:rFonts w:asciiTheme="minorHAnsi" w:hAnsiTheme="minorHAnsi" w:cstheme="minorHAnsi"/>
        </w:rPr>
        <w:t xml:space="preserve"> burst, </w:t>
      </w:r>
      <w:r>
        <w:rPr>
          <w:rFonts w:asciiTheme="minorHAnsi" w:hAnsiTheme="minorHAnsi" w:cstheme="minorHAnsi"/>
        </w:rPr>
        <w:lastRenderedPageBreak/>
        <w:t>PMN, soil C fractions and earthworms) and physical measures (aggregates and crop roots) had much lower or zero “unknown” responses.</w:t>
      </w:r>
    </w:p>
    <w:p w14:paraId="1A48B814" w14:textId="21A91959" w:rsidR="00661E94" w:rsidRDefault="00661E94" w:rsidP="00AC7014">
      <w:pPr>
        <w:rPr>
          <w:rFonts w:asciiTheme="minorHAnsi" w:hAnsiTheme="minorHAnsi" w:cstheme="minorHAnsi"/>
        </w:rPr>
      </w:pPr>
      <w:r w:rsidRPr="00EB1D71">
        <w:rPr>
          <w:rFonts w:asciiTheme="minorHAnsi" w:hAnsiTheme="minorHAnsi" w:cstheme="minorHAnsi"/>
        </w:rPr>
        <w:t>There was also limited consensus on the capacity of each of the given indicators to impact ecosystem goods and services. Summarised participant rankings for each indicator showed that many indicators were considered to have strong links to soil nutrient cycling, particularly N, while drought regulation was less highly ranked for any of the given indicators (</w:t>
      </w:r>
      <w:r w:rsidR="007F56B5" w:rsidRPr="00EB1D71">
        <w:rPr>
          <w:rStyle w:val="TableHyperlink"/>
          <w:rFonts w:asciiTheme="minorHAnsi" w:hAnsiTheme="minorHAnsi" w:cstheme="minorHAnsi"/>
        </w:rPr>
        <w:fldChar w:fldCharType="begin"/>
      </w:r>
      <w:r w:rsidR="007F56B5" w:rsidRPr="00EB1D71">
        <w:rPr>
          <w:rStyle w:val="TableHyperlink"/>
          <w:rFonts w:asciiTheme="minorHAnsi" w:hAnsiTheme="minorHAnsi" w:cstheme="minorHAnsi"/>
        </w:rPr>
        <w:instrText xml:space="preserve"> REF _Ref229662795 \h </w:instrText>
      </w:r>
      <w:r w:rsidR="00735BB6" w:rsidRPr="00EB1D71">
        <w:rPr>
          <w:rStyle w:val="TableHyperlink"/>
          <w:rFonts w:asciiTheme="minorHAnsi" w:hAnsiTheme="minorHAnsi" w:cstheme="minorHAnsi"/>
        </w:rPr>
        <w:instrText xml:space="preserve"> \* MERGEFORMAT </w:instrText>
      </w:r>
      <w:r w:rsidR="007F56B5" w:rsidRPr="00EB1D71">
        <w:rPr>
          <w:rStyle w:val="TableHyperlink"/>
          <w:rFonts w:asciiTheme="minorHAnsi" w:hAnsiTheme="minorHAnsi" w:cstheme="minorHAnsi"/>
        </w:rPr>
      </w:r>
      <w:r w:rsidR="007F56B5" w:rsidRPr="00EB1D71">
        <w:rPr>
          <w:rStyle w:val="TableHyperlink"/>
          <w:rFonts w:asciiTheme="minorHAnsi" w:hAnsiTheme="minorHAnsi" w:cstheme="minorHAnsi"/>
        </w:rPr>
        <w:fldChar w:fldCharType="separate"/>
      </w:r>
      <w:r w:rsidR="007F56B5" w:rsidRPr="00EB1D71">
        <w:rPr>
          <w:rStyle w:val="TableHyperlink"/>
          <w:rFonts w:asciiTheme="minorHAnsi" w:hAnsiTheme="minorHAnsi" w:cstheme="minorHAnsi"/>
        </w:rPr>
        <w:t>Table 19</w:t>
      </w:r>
      <w:r w:rsidR="007F56B5" w:rsidRPr="00EB1D71">
        <w:rPr>
          <w:rStyle w:val="TableHyperlink"/>
          <w:rFonts w:asciiTheme="minorHAnsi" w:hAnsiTheme="minorHAnsi" w:cstheme="minorHAnsi"/>
        </w:rPr>
        <w:fldChar w:fldCharType="end"/>
      </w:r>
      <w:r w:rsidRPr="00EB1D71">
        <w:rPr>
          <w:rFonts w:asciiTheme="minorHAnsi" w:hAnsiTheme="minorHAnsi" w:cstheme="minorHAnsi"/>
        </w:rPr>
        <w:t xml:space="preserve">). </w:t>
      </w:r>
    </w:p>
    <w:p w14:paraId="5635AA7C" w14:textId="77777777" w:rsidR="003C2322" w:rsidRPr="00AE2A6A" w:rsidRDefault="003C2322" w:rsidP="003C2322">
      <w:pPr>
        <w:pStyle w:val="Heading3"/>
        <w:rPr>
          <w:rFonts w:asciiTheme="minorHAnsi" w:hAnsiTheme="minorHAnsi" w:cstheme="minorHAnsi"/>
          <w:color w:val="006197" w:themeColor="text1" w:themeShade="BF"/>
        </w:rPr>
      </w:pPr>
      <w:bookmarkStart w:id="122" w:name="_Toc234580978"/>
      <w:r w:rsidRPr="00AE2A6A">
        <w:rPr>
          <w:rFonts w:asciiTheme="minorHAnsi" w:hAnsiTheme="minorHAnsi" w:cstheme="minorHAnsi"/>
          <w:color w:val="006197" w:themeColor="text1" w:themeShade="BF"/>
        </w:rPr>
        <w:t xml:space="preserve">Delphi Survey – second round – conversion of ranked importance of criteria and </w:t>
      </w:r>
      <w:r w:rsidRPr="00AE2A6A">
        <w:rPr>
          <w:rFonts w:asciiTheme="minorHAnsi" w:hAnsiTheme="minorHAnsi" w:cstheme="minorHAnsi"/>
          <w:bCs/>
          <w:color w:val="006197" w:themeColor="text1" w:themeShade="BF"/>
        </w:rPr>
        <w:t>ecosystem</w:t>
      </w:r>
      <w:r w:rsidRPr="00AE2A6A">
        <w:rPr>
          <w:rFonts w:asciiTheme="minorHAnsi" w:hAnsiTheme="minorHAnsi" w:cstheme="minorHAnsi"/>
          <w:color w:val="006197" w:themeColor="text1" w:themeShade="BF"/>
        </w:rPr>
        <w:t xml:space="preserve"> goods and services into weightings</w:t>
      </w:r>
      <w:bookmarkEnd w:id="122"/>
    </w:p>
    <w:p w14:paraId="63DA305C" w14:textId="77777777" w:rsidR="003C2322" w:rsidRPr="00EB1D71" w:rsidRDefault="003C2322" w:rsidP="003C2322">
      <w:pPr>
        <w:pStyle w:val="ListParagraph"/>
        <w:numPr>
          <w:ilvl w:val="0"/>
          <w:numId w:val="18"/>
        </w:numPr>
        <w:spacing w:after="0" w:line="360" w:lineRule="auto"/>
        <w:rPr>
          <w:rFonts w:asciiTheme="minorHAnsi" w:hAnsiTheme="minorHAnsi" w:cstheme="minorHAnsi"/>
        </w:rPr>
      </w:pPr>
      <w:r w:rsidRPr="00EB1D71">
        <w:rPr>
          <w:rFonts w:asciiTheme="minorHAnsi" w:hAnsiTheme="minorHAnsi" w:cstheme="minorHAnsi"/>
        </w:rPr>
        <w:t>Rankings from respondents were converted into an average rank for each criteria/EGS.</w:t>
      </w:r>
    </w:p>
    <w:p w14:paraId="447E270B" w14:textId="77777777" w:rsidR="003C2322" w:rsidRPr="00EB1D71" w:rsidRDefault="003C2322" w:rsidP="003C2322">
      <w:pPr>
        <w:pStyle w:val="ListParagraph"/>
        <w:numPr>
          <w:ilvl w:val="0"/>
          <w:numId w:val="18"/>
        </w:numPr>
        <w:spacing w:after="0" w:line="360" w:lineRule="auto"/>
        <w:rPr>
          <w:rFonts w:asciiTheme="minorHAnsi" w:hAnsiTheme="minorHAnsi" w:cstheme="minorHAnsi"/>
        </w:rPr>
      </w:pPr>
      <w:r w:rsidRPr="00EB1D71">
        <w:rPr>
          <w:rFonts w:asciiTheme="minorHAnsi" w:hAnsiTheme="minorHAnsi" w:cstheme="minorHAnsi"/>
        </w:rPr>
        <w:t>Average ranks were converted into a score for each criteria/EGS (</w:t>
      </w:r>
      <w:r w:rsidRPr="00EB1D71">
        <w:rPr>
          <w:rFonts w:asciiTheme="minorHAnsi" w:hAnsiTheme="minorHAnsi" w:cstheme="minorHAnsi"/>
          <w:i/>
          <w:iCs/>
        </w:rPr>
        <w:t>j</w:t>
      </w:r>
      <w:r w:rsidRPr="00EB1D71">
        <w:rPr>
          <w:rFonts w:asciiTheme="minorHAnsi" w:hAnsiTheme="minorHAnsi" w:cstheme="minorHAnsi"/>
        </w:rPr>
        <w:t xml:space="preserve">) using the formula: </w:t>
      </w:r>
      <m:oMath>
        <m:sSub>
          <m:sSubPr>
            <m:ctrlPr>
              <w:rPr>
                <w:rFonts w:ascii="Cambria Math" w:hAnsi="Cambria Math" w:cstheme="minorHAnsi"/>
              </w:rPr>
            </m:ctrlPr>
          </m:sSubPr>
          <m:e>
            <m:r>
              <m:rPr>
                <m:nor/>
              </m:rPr>
              <w:rPr>
                <w:rFonts w:asciiTheme="minorHAnsi" w:hAnsiTheme="minorHAnsi" w:cstheme="minorHAnsi"/>
              </w:rPr>
              <m:t>score</m:t>
            </m:r>
          </m:e>
          <m:sub>
            <m:r>
              <w:rPr>
                <w:rFonts w:ascii="Cambria Math" w:hAnsi="Cambria Math" w:cstheme="minorHAnsi"/>
              </w:rPr>
              <m:t>j</m:t>
            </m:r>
          </m:sub>
        </m:sSub>
        <m:r>
          <w:rPr>
            <w:rFonts w:ascii="Cambria Math" w:hAnsi="Cambria Math" w:cstheme="minorHAnsi"/>
          </w:rPr>
          <m:t>=m-</m:t>
        </m:r>
        <m:sSub>
          <m:sSubPr>
            <m:ctrlPr>
              <w:rPr>
                <w:rFonts w:ascii="Cambria Math" w:hAnsi="Cambria Math" w:cstheme="minorHAnsi"/>
              </w:rPr>
            </m:ctrlPr>
          </m:sSubPr>
          <m:e>
            <m:r>
              <w:rPr>
                <w:rFonts w:ascii="Cambria Math" w:hAnsi="Cambria Math" w:cstheme="minorHAnsi"/>
              </w:rPr>
              <m:t>r</m:t>
            </m:r>
          </m:e>
          <m:sub>
            <m:r>
              <w:rPr>
                <w:rFonts w:ascii="Cambria Math" w:hAnsi="Cambria Math" w:cstheme="minorHAnsi"/>
              </w:rPr>
              <m:t>j</m:t>
            </m:r>
          </m:sub>
        </m:sSub>
        <m:r>
          <w:rPr>
            <w:rFonts w:ascii="Cambria Math" w:hAnsi="Cambria Math" w:cstheme="minorHAnsi"/>
          </w:rPr>
          <m:t>+1</m:t>
        </m:r>
      </m:oMath>
      <w:r w:rsidRPr="00EB1D71">
        <w:rPr>
          <w:rFonts w:asciiTheme="minorHAnsi" w:hAnsiTheme="minorHAnsi" w:cstheme="minorHAnsi"/>
        </w:rPr>
        <w:t xml:space="preserve"> where </w:t>
      </w:r>
      <w:r w:rsidRPr="00EB1D71">
        <w:rPr>
          <w:rFonts w:asciiTheme="minorHAnsi" w:hAnsiTheme="minorHAnsi" w:cstheme="minorHAnsi"/>
          <w:i/>
          <w:iCs/>
        </w:rPr>
        <w:t>m</w:t>
      </w:r>
      <w:r w:rsidRPr="00EB1D71">
        <w:rPr>
          <w:rFonts w:asciiTheme="minorHAnsi" w:hAnsiTheme="minorHAnsi" w:cstheme="minorHAnsi"/>
        </w:rPr>
        <w:t xml:space="preserve">=the total number of criteria/EGS and </w:t>
      </w:r>
      <w:proofErr w:type="spellStart"/>
      <w:r w:rsidRPr="00EB1D71">
        <w:rPr>
          <w:rFonts w:asciiTheme="minorHAnsi" w:hAnsiTheme="minorHAnsi" w:cstheme="minorHAnsi"/>
          <w:i/>
          <w:iCs/>
        </w:rPr>
        <w:t>r</w:t>
      </w:r>
      <w:r w:rsidRPr="00EB1D71">
        <w:rPr>
          <w:rFonts w:asciiTheme="minorHAnsi" w:hAnsiTheme="minorHAnsi" w:cstheme="minorHAnsi"/>
          <w:i/>
          <w:iCs/>
          <w:vertAlign w:val="subscript"/>
        </w:rPr>
        <w:t>j</w:t>
      </w:r>
      <w:proofErr w:type="spellEnd"/>
      <w:r w:rsidRPr="00EB1D71">
        <w:rPr>
          <w:rFonts w:asciiTheme="minorHAnsi" w:hAnsiTheme="minorHAnsi" w:cstheme="minorHAnsi"/>
        </w:rPr>
        <w:t xml:space="preserve"> is the average rank for that score.</w:t>
      </w:r>
    </w:p>
    <w:p w14:paraId="36ACA0DF" w14:textId="77777777" w:rsidR="003C2322" w:rsidRPr="00EB1D71" w:rsidRDefault="003C2322" w:rsidP="003C2322">
      <w:pPr>
        <w:pStyle w:val="ListParagraph"/>
        <w:numPr>
          <w:ilvl w:val="0"/>
          <w:numId w:val="18"/>
        </w:numPr>
        <w:spacing w:after="0" w:line="360" w:lineRule="auto"/>
        <w:rPr>
          <w:rFonts w:asciiTheme="minorHAnsi" w:hAnsiTheme="minorHAnsi" w:cstheme="minorHAnsi"/>
        </w:rPr>
      </w:pPr>
      <w:r w:rsidRPr="00EB1D71">
        <w:rPr>
          <w:rFonts w:asciiTheme="minorHAnsi" w:hAnsiTheme="minorHAnsi" w:cstheme="minorHAnsi"/>
        </w:rPr>
        <w:t>All the scores were summed; in this case the sum=21 for both criteria and EGS.</w:t>
      </w:r>
    </w:p>
    <w:p w14:paraId="17A4569E" w14:textId="77777777" w:rsidR="003C2322" w:rsidRPr="00EB1D71" w:rsidRDefault="003C2322" w:rsidP="003C2322">
      <w:pPr>
        <w:pStyle w:val="ListParagraph"/>
        <w:numPr>
          <w:ilvl w:val="0"/>
          <w:numId w:val="18"/>
        </w:numPr>
        <w:spacing w:after="0" w:line="360" w:lineRule="auto"/>
        <w:rPr>
          <w:rFonts w:asciiTheme="minorHAnsi" w:hAnsiTheme="minorHAnsi" w:cstheme="minorHAnsi"/>
        </w:rPr>
      </w:pPr>
      <w:r w:rsidRPr="00EB1D71">
        <w:rPr>
          <w:rFonts w:asciiTheme="minorHAnsi" w:hAnsiTheme="minorHAnsi" w:cstheme="minorHAnsi"/>
        </w:rPr>
        <w:t xml:space="preserve">Scores for each criteria/EGS were converted into weightings to be used in the Logical sieve using this formula: </w:t>
      </w:r>
      <m:oMath>
        <m:sSub>
          <m:sSubPr>
            <m:ctrlPr>
              <w:rPr>
                <w:rFonts w:ascii="Cambria Math" w:hAnsi="Cambria Math" w:cstheme="minorHAnsi"/>
              </w:rPr>
            </m:ctrlPr>
          </m:sSubPr>
          <m:e>
            <m:r>
              <w:rPr>
                <w:rFonts w:ascii="Cambria Math" w:hAnsi="Cambria Math" w:cstheme="minorHAnsi"/>
              </w:rPr>
              <m:t>w</m:t>
            </m:r>
          </m:e>
          <m:sub>
            <m:r>
              <w:rPr>
                <w:rFonts w:ascii="Cambria Math" w:hAnsi="Cambria Math" w:cstheme="minorHAnsi"/>
              </w:rPr>
              <m:t>j</m:t>
            </m:r>
          </m:sub>
        </m:sSub>
        <m:r>
          <w:rPr>
            <w:rFonts w:ascii="Cambria Math" w:hAnsi="Cambria Math" w:cstheme="minorHAnsi"/>
          </w:rPr>
          <m:t>=</m:t>
        </m:r>
        <m:f>
          <m:fPr>
            <m:ctrlPr>
              <w:rPr>
                <w:rFonts w:ascii="Cambria Math" w:hAnsi="Cambria Math" w:cstheme="minorHAnsi"/>
              </w:rPr>
            </m:ctrlPr>
          </m:fPr>
          <m:num>
            <m:sSub>
              <m:sSubPr>
                <m:ctrlPr>
                  <w:rPr>
                    <w:rFonts w:ascii="Cambria Math" w:hAnsi="Cambria Math" w:cstheme="minorHAnsi"/>
                  </w:rPr>
                </m:ctrlPr>
              </m:sSubPr>
              <m:e>
                <m:r>
                  <m:rPr>
                    <m:nor/>
                  </m:rPr>
                  <w:rPr>
                    <w:rFonts w:asciiTheme="minorHAnsi" w:hAnsiTheme="minorHAnsi" w:cstheme="minorHAnsi"/>
                  </w:rPr>
                  <m:t>score</m:t>
                </m:r>
              </m:e>
              <m:sub>
                <m:r>
                  <w:rPr>
                    <w:rFonts w:ascii="Cambria Math" w:hAnsi="Cambria Math" w:cstheme="minorHAnsi"/>
                  </w:rPr>
                  <m:t>j</m:t>
                </m:r>
              </m:sub>
            </m:sSub>
          </m:num>
          <m:den>
            <m:r>
              <w:rPr>
                <w:rFonts w:ascii="Cambria Math" w:hAnsi="Cambria Math" w:cstheme="minorHAnsi"/>
              </w:rPr>
              <m:t>21</m:t>
            </m:r>
          </m:den>
        </m:f>
      </m:oMath>
      <w:r w:rsidRPr="00EB1D71">
        <w:rPr>
          <w:rFonts w:asciiTheme="minorHAnsi" w:hAnsiTheme="minorHAnsi" w:cstheme="minorHAnsi"/>
        </w:rPr>
        <w:t xml:space="preserve"> where </w:t>
      </w:r>
      <w:r w:rsidRPr="00EB1D71">
        <w:rPr>
          <w:rFonts w:asciiTheme="minorHAnsi" w:hAnsiTheme="minorHAnsi" w:cstheme="minorHAnsi"/>
          <w:i/>
          <w:iCs/>
        </w:rPr>
        <w:t>w</w:t>
      </w:r>
      <w:r w:rsidRPr="00EB1D71">
        <w:rPr>
          <w:rFonts w:asciiTheme="minorHAnsi" w:hAnsiTheme="minorHAnsi" w:cstheme="minorHAnsi"/>
        </w:rPr>
        <w:t xml:space="preserve">=weighting for </w:t>
      </w:r>
      <w:r w:rsidRPr="00EB1D71">
        <w:rPr>
          <w:rFonts w:asciiTheme="minorHAnsi" w:hAnsiTheme="minorHAnsi" w:cstheme="minorHAnsi"/>
          <w:i/>
          <w:iCs/>
        </w:rPr>
        <w:t>j</w:t>
      </w:r>
      <w:r w:rsidRPr="00EB1D71">
        <w:rPr>
          <w:rFonts w:asciiTheme="minorHAnsi" w:hAnsiTheme="minorHAnsi" w:cstheme="minorHAnsi"/>
        </w:rPr>
        <w:t xml:space="preserve"> criteria/EGS.</w:t>
      </w:r>
    </w:p>
    <w:p w14:paraId="01DF5CCC" w14:textId="77777777" w:rsidR="003C2322" w:rsidRPr="00EB1D71" w:rsidRDefault="003C2322" w:rsidP="00AC7014">
      <w:pPr>
        <w:rPr>
          <w:rFonts w:asciiTheme="minorHAnsi" w:hAnsiTheme="minorHAnsi" w:cstheme="minorHAnsi"/>
        </w:rPr>
      </w:pPr>
    </w:p>
    <w:p w14:paraId="22DDD19C" w14:textId="77777777" w:rsidR="003C2322" w:rsidRPr="00EB1D71" w:rsidRDefault="003C2322">
      <w:pPr>
        <w:spacing w:line="278" w:lineRule="auto"/>
        <w:rPr>
          <w:rFonts w:asciiTheme="minorHAnsi" w:hAnsiTheme="minorHAnsi" w:cstheme="minorHAnsi"/>
        </w:rPr>
        <w:sectPr w:rsidR="003C2322" w:rsidRPr="00EB1D71" w:rsidSect="00A635D2">
          <w:pgSz w:w="11906" w:h="16838"/>
          <w:pgMar w:top="1418" w:right="1418" w:bottom="1418" w:left="1418" w:header="709" w:footer="454" w:gutter="0"/>
          <w:cols w:space="708"/>
          <w:docGrid w:linePitch="360"/>
        </w:sectPr>
      </w:pPr>
    </w:p>
    <w:p w14:paraId="08064465" w14:textId="0605A9B4" w:rsidR="009A568B" w:rsidRPr="00EB1D71" w:rsidRDefault="009A568B" w:rsidP="009A568B">
      <w:pPr>
        <w:pStyle w:val="Caption"/>
        <w:keepNext/>
        <w:rPr>
          <w:rFonts w:asciiTheme="minorHAnsi" w:hAnsiTheme="minorHAnsi" w:cstheme="minorHAnsi"/>
        </w:rPr>
      </w:pPr>
      <w:bookmarkStart w:id="123" w:name="_Ref229662795"/>
      <w:r w:rsidRPr="00EB1D71">
        <w:rPr>
          <w:rFonts w:asciiTheme="minorHAnsi" w:hAnsiTheme="minorHAnsi" w:cstheme="minorHAnsi"/>
        </w:rPr>
        <w:lastRenderedPageBreak/>
        <w:t xml:space="preserve">Table </w:t>
      </w:r>
      <w:r w:rsidRPr="00EB1D71">
        <w:rPr>
          <w:rFonts w:asciiTheme="minorHAnsi" w:hAnsiTheme="minorHAnsi" w:cstheme="minorHAnsi"/>
        </w:rPr>
        <w:fldChar w:fldCharType="begin"/>
      </w:r>
      <w:r w:rsidRPr="00EB1D71">
        <w:rPr>
          <w:rFonts w:asciiTheme="minorHAnsi" w:hAnsiTheme="minorHAnsi" w:cstheme="minorHAnsi"/>
        </w:rPr>
        <w:instrText xml:space="preserve"> SEQ Table \* ARABIC </w:instrText>
      </w:r>
      <w:r w:rsidRPr="00EB1D71">
        <w:rPr>
          <w:rFonts w:asciiTheme="minorHAnsi" w:hAnsiTheme="minorHAnsi" w:cstheme="minorHAnsi"/>
        </w:rPr>
        <w:fldChar w:fldCharType="separate"/>
      </w:r>
      <w:r w:rsidR="00C400DA">
        <w:rPr>
          <w:rFonts w:asciiTheme="minorHAnsi" w:hAnsiTheme="minorHAnsi" w:cstheme="minorHAnsi"/>
          <w:noProof/>
        </w:rPr>
        <w:t>19</w:t>
      </w:r>
      <w:r w:rsidRPr="00EB1D71">
        <w:rPr>
          <w:rFonts w:asciiTheme="minorHAnsi" w:hAnsiTheme="minorHAnsi" w:cstheme="minorHAnsi"/>
          <w:noProof/>
        </w:rPr>
        <w:fldChar w:fldCharType="end"/>
      </w:r>
      <w:bookmarkEnd w:id="123"/>
      <w:r w:rsidRPr="00EB1D71">
        <w:rPr>
          <w:rFonts w:asciiTheme="minorHAnsi" w:hAnsiTheme="minorHAnsi" w:cstheme="minorHAnsi"/>
        </w:rPr>
        <w:t>. Average ranking (first=1, second=2, etc) for the capacity of each indicator to reflect given ecosystem service. Top ranked indicator for each service is marked with an asterisk.</w:t>
      </w:r>
    </w:p>
    <w:tbl>
      <w:tblPr>
        <w:tblStyle w:val="TableGrid"/>
        <w:tblW w:w="5000" w:type="pct"/>
        <w:tblLayout w:type="fixed"/>
        <w:tblLook w:val="04A0" w:firstRow="1" w:lastRow="0" w:firstColumn="1" w:lastColumn="0" w:noHBand="0" w:noVBand="1"/>
      </w:tblPr>
      <w:tblGrid>
        <w:gridCol w:w="1737"/>
        <w:gridCol w:w="2043"/>
        <w:gridCol w:w="2043"/>
        <w:gridCol w:w="2043"/>
        <w:gridCol w:w="2043"/>
        <w:gridCol w:w="2043"/>
        <w:gridCol w:w="2040"/>
      </w:tblGrid>
      <w:tr w:rsidR="00661E94" w:rsidRPr="00EB1D71" w14:paraId="7CF36082" w14:textId="77777777" w:rsidTr="00661E94">
        <w:trPr>
          <w:cnfStyle w:val="100000000000" w:firstRow="1" w:lastRow="0" w:firstColumn="0" w:lastColumn="0" w:oddVBand="0" w:evenVBand="0" w:oddHBand="0" w:evenHBand="0" w:firstRowFirstColumn="0" w:firstRowLastColumn="0" w:lastRowFirstColumn="0" w:lastRowLastColumn="0"/>
          <w:trHeight w:val="1618"/>
        </w:trPr>
        <w:tc>
          <w:tcPr>
            <w:cnfStyle w:val="001000000000" w:firstRow="0" w:lastRow="0" w:firstColumn="1" w:lastColumn="0" w:oddVBand="0" w:evenVBand="0" w:oddHBand="0" w:evenHBand="0" w:firstRowFirstColumn="0" w:firstRowLastColumn="0" w:lastRowFirstColumn="0" w:lastRowLastColumn="0"/>
            <w:tcW w:w="621" w:type="pct"/>
            <w:hideMark/>
          </w:tcPr>
          <w:p w14:paraId="3E5DBE61" w14:textId="025F0533" w:rsidR="00661E94" w:rsidRPr="00EB1D71" w:rsidRDefault="00661E94" w:rsidP="00B22117">
            <w:pPr>
              <w:pStyle w:val="TableHeading-centred-bold"/>
              <w:rPr>
                <w:b/>
              </w:rPr>
            </w:pPr>
            <w:r w:rsidRPr="00EB1D71">
              <w:rPr>
                <w:b/>
              </w:rPr>
              <w:t>Indicator</w:t>
            </w:r>
          </w:p>
        </w:tc>
        <w:tc>
          <w:tcPr>
            <w:tcW w:w="730" w:type="pct"/>
            <w:hideMark/>
          </w:tcPr>
          <w:p w14:paraId="2D5D584B" w14:textId="77777777" w:rsidR="00661E94" w:rsidRPr="00EB1D71" w:rsidRDefault="00661E94" w:rsidP="00B22117">
            <w:pPr>
              <w:pStyle w:val="TableHeading-centred-bold"/>
              <w:cnfStyle w:val="100000000000" w:firstRow="1" w:lastRow="0" w:firstColumn="0" w:lastColumn="0" w:oddVBand="0" w:evenVBand="0" w:oddHBand="0" w:evenHBand="0" w:firstRowFirstColumn="0" w:firstRowLastColumn="0" w:lastRowFirstColumn="0" w:lastRowLastColumn="0"/>
              <w:rPr>
                <w:b/>
              </w:rPr>
            </w:pPr>
            <w:r w:rsidRPr="00EB1D71">
              <w:rPr>
                <w:b/>
              </w:rPr>
              <w:t>Soil carbon storage for climate mitigation</w:t>
            </w:r>
          </w:p>
        </w:tc>
        <w:tc>
          <w:tcPr>
            <w:tcW w:w="730" w:type="pct"/>
            <w:hideMark/>
          </w:tcPr>
          <w:p w14:paraId="711112E7" w14:textId="77777777" w:rsidR="00661E94" w:rsidRPr="00EB1D71" w:rsidRDefault="00661E94" w:rsidP="00B22117">
            <w:pPr>
              <w:pStyle w:val="TableHeading-centred-bold"/>
              <w:cnfStyle w:val="100000000000" w:firstRow="1" w:lastRow="0" w:firstColumn="0" w:lastColumn="0" w:oddVBand="0" w:evenVBand="0" w:oddHBand="0" w:evenHBand="0" w:firstRowFirstColumn="0" w:firstRowLastColumn="0" w:lastRowFirstColumn="0" w:lastRowLastColumn="0"/>
              <w:rPr>
                <w:b/>
              </w:rPr>
            </w:pPr>
            <w:r w:rsidRPr="00EB1D71">
              <w:rPr>
                <w:b/>
              </w:rPr>
              <w:t>Food, fibre and biomass productions</w:t>
            </w:r>
          </w:p>
        </w:tc>
        <w:tc>
          <w:tcPr>
            <w:tcW w:w="730" w:type="pct"/>
            <w:hideMark/>
          </w:tcPr>
          <w:p w14:paraId="370F2A12" w14:textId="77777777" w:rsidR="00661E94" w:rsidRPr="00EB1D71" w:rsidRDefault="00661E94" w:rsidP="00B22117">
            <w:pPr>
              <w:pStyle w:val="TableHeading-centred-bold"/>
              <w:cnfStyle w:val="100000000000" w:firstRow="1" w:lastRow="0" w:firstColumn="0" w:lastColumn="0" w:oddVBand="0" w:evenVBand="0" w:oddHBand="0" w:evenHBand="0" w:firstRowFirstColumn="0" w:firstRowLastColumn="0" w:lastRowFirstColumn="0" w:lastRowLastColumn="0"/>
              <w:rPr>
                <w:b/>
              </w:rPr>
            </w:pPr>
            <w:r w:rsidRPr="00EB1D71">
              <w:rPr>
                <w:b/>
              </w:rPr>
              <w:t>Nutrient cycling - provision of N to crops</w:t>
            </w:r>
          </w:p>
        </w:tc>
        <w:tc>
          <w:tcPr>
            <w:tcW w:w="730" w:type="pct"/>
            <w:hideMark/>
          </w:tcPr>
          <w:p w14:paraId="5BCDBBA5" w14:textId="77777777" w:rsidR="00661E94" w:rsidRPr="00EB1D71" w:rsidRDefault="00661E94" w:rsidP="00B22117">
            <w:pPr>
              <w:pStyle w:val="TableHeading-centred-bold"/>
              <w:cnfStyle w:val="100000000000" w:firstRow="1" w:lastRow="0" w:firstColumn="0" w:lastColumn="0" w:oddVBand="0" w:evenVBand="0" w:oddHBand="0" w:evenHBand="0" w:firstRowFirstColumn="0" w:firstRowLastColumn="0" w:lastRowFirstColumn="0" w:lastRowLastColumn="0"/>
              <w:rPr>
                <w:b/>
              </w:rPr>
            </w:pPr>
            <w:r w:rsidRPr="00EB1D71">
              <w:rPr>
                <w:b/>
              </w:rPr>
              <w:t>Nutrient cycling - provision of P &amp; K to crops</w:t>
            </w:r>
          </w:p>
        </w:tc>
        <w:tc>
          <w:tcPr>
            <w:tcW w:w="730" w:type="pct"/>
            <w:hideMark/>
          </w:tcPr>
          <w:p w14:paraId="7EA4913D" w14:textId="77777777" w:rsidR="00661E94" w:rsidRPr="00EB1D71" w:rsidRDefault="00661E94" w:rsidP="00B22117">
            <w:pPr>
              <w:pStyle w:val="TableHeading-centred-bold"/>
              <w:cnfStyle w:val="100000000000" w:firstRow="1" w:lastRow="0" w:firstColumn="0" w:lastColumn="0" w:oddVBand="0" w:evenVBand="0" w:oddHBand="0" w:evenHBand="0" w:firstRowFirstColumn="0" w:firstRowLastColumn="0" w:lastRowFirstColumn="0" w:lastRowLastColumn="0"/>
              <w:rPr>
                <w:b/>
              </w:rPr>
            </w:pPr>
            <w:r w:rsidRPr="00EB1D71">
              <w:rPr>
                <w:b/>
              </w:rPr>
              <w:t>Water regulation - drought mitigation</w:t>
            </w:r>
          </w:p>
        </w:tc>
        <w:tc>
          <w:tcPr>
            <w:tcW w:w="730" w:type="pct"/>
            <w:hideMark/>
          </w:tcPr>
          <w:p w14:paraId="0A64CB5F" w14:textId="33450A2A" w:rsidR="00661E94" w:rsidRPr="00EB1D71" w:rsidRDefault="00661E94" w:rsidP="00B22117">
            <w:pPr>
              <w:pStyle w:val="TableHeading-centred-bold"/>
              <w:cnfStyle w:val="100000000000" w:firstRow="1" w:lastRow="0" w:firstColumn="0" w:lastColumn="0" w:oddVBand="0" w:evenVBand="0" w:oddHBand="0" w:evenHBand="0" w:firstRowFirstColumn="0" w:firstRowLastColumn="0" w:lastRowFirstColumn="0" w:lastRowLastColumn="0"/>
              <w:rPr>
                <w:b/>
              </w:rPr>
            </w:pPr>
            <w:r w:rsidRPr="00EB1D71">
              <w:rPr>
                <w:b/>
              </w:rPr>
              <w:t>Water regulation - flood alleviation/</w:t>
            </w:r>
            <w:r w:rsidR="00E5610C">
              <w:rPr>
                <w:b/>
              </w:rPr>
              <w:t xml:space="preserve"> </w:t>
            </w:r>
            <w:r w:rsidRPr="00EB1D71">
              <w:rPr>
                <w:b/>
              </w:rPr>
              <w:t>runoff/ erosion mitigation</w:t>
            </w:r>
          </w:p>
          <w:p w14:paraId="57DAB8E0" w14:textId="77777777" w:rsidR="00661E94" w:rsidRPr="00EB1D71" w:rsidRDefault="00661E94" w:rsidP="00B22117">
            <w:pPr>
              <w:pStyle w:val="TableHeading-centred-bold"/>
              <w:cnfStyle w:val="100000000000" w:firstRow="1" w:lastRow="0" w:firstColumn="0" w:lastColumn="0" w:oddVBand="0" w:evenVBand="0" w:oddHBand="0" w:evenHBand="0" w:firstRowFirstColumn="0" w:firstRowLastColumn="0" w:lastRowFirstColumn="0" w:lastRowLastColumn="0"/>
              <w:rPr>
                <w:b/>
              </w:rPr>
            </w:pPr>
          </w:p>
        </w:tc>
      </w:tr>
      <w:tr w:rsidR="00661E94" w:rsidRPr="00EB1D71" w14:paraId="7BD80CFD" w14:textId="77777777" w:rsidTr="00661E94">
        <w:trPr>
          <w:trHeight w:val="290"/>
        </w:trPr>
        <w:tc>
          <w:tcPr>
            <w:cnfStyle w:val="001000000000" w:firstRow="0" w:lastRow="0" w:firstColumn="1" w:lastColumn="0" w:oddVBand="0" w:evenVBand="0" w:oddHBand="0" w:evenHBand="0" w:firstRowFirstColumn="0" w:firstRowLastColumn="0" w:lastRowFirstColumn="0" w:lastRowLastColumn="0"/>
            <w:tcW w:w="621" w:type="pct"/>
            <w:noWrap/>
            <w:hideMark/>
          </w:tcPr>
          <w:p w14:paraId="1FCA5417" w14:textId="77777777" w:rsidR="00661E94" w:rsidRPr="00EB1D71" w:rsidRDefault="00661E94" w:rsidP="00661E94">
            <w:pPr>
              <w:pStyle w:val="Table-Body-leftaligned-bold"/>
              <w:spacing w:before="144" w:after="144"/>
              <w:rPr>
                <w:rFonts w:asciiTheme="minorHAnsi" w:hAnsiTheme="minorHAnsi" w:cstheme="minorHAnsi"/>
                <w:lang w:eastAsia="en-GB"/>
              </w:rPr>
            </w:pPr>
            <w:r w:rsidRPr="00EB1D71">
              <w:rPr>
                <w:rFonts w:asciiTheme="minorHAnsi" w:hAnsiTheme="minorHAnsi" w:cstheme="minorHAnsi"/>
                <w:lang w:eastAsia="en-GB"/>
              </w:rPr>
              <w:t>Earthworms</w:t>
            </w:r>
          </w:p>
        </w:tc>
        <w:tc>
          <w:tcPr>
            <w:tcW w:w="730" w:type="pct"/>
            <w:noWrap/>
            <w:hideMark/>
          </w:tcPr>
          <w:p w14:paraId="3008A962"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4.8</w:t>
            </w:r>
          </w:p>
        </w:tc>
        <w:tc>
          <w:tcPr>
            <w:tcW w:w="730" w:type="pct"/>
            <w:noWrap/>
            <w:hideMark/>
          </w:tcPr>
          <w:p w14:paraId="5756E2D3" w14:textId="545C943C"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2.2*</w:t>
            </w:r>
          </w:p>
        </w:tc>
        <w:tc>
          <w:tcPr>
            <w:tcW w:w="730" w:type="pct"/>
            <w:noWrap/>
            <w:hideMark/>
          </w:tcPr>
          <w:p w14:paraId="3B48AAC5"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3.5</w:t>
            </w:r>
          </w:p>
        </w:tc>
        <w:tc>
          <w:tcPr>
            <w:tcW w:w="730" w:type="pct"/>
            <w:noWrap/>
            <w:hideMark/>
          </w:tcPr>
          <w:p w14:paraId="6DCC138B"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4.0</w:t>
            </w:r>
          </w:p>
        </w:tc>
        <w:tc>
          <w:tcPr>
            <w:tcW w:w="730" w:type="pct"/>
            <w:noWrap/>
            <w:hideMark/>
          </w:tcPr>
          <w:p w14:paraId="49169C61"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4.7</w:t>
            </w:r>
          </w:p>
        </w:tc>
        <w:tc>
          <w:tcPr>
            <w:tcW w:w="730" w:type="pct"/>
            <w:noWrap/>
            <w:hideMark/>
          </w:tcPr>
          <w:p w14:paraId="037A09D6" w14:textId="34D7D5C4"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1.8*</w:t>
            </w:r>
          </w:p>
        </w:tc>
      </w:tr>
      <w:tr w:rsidR="00661E94" w:rsidRPr="00EB1D71" w14:paraId="6F826851" w14:textId="77777777" w:rsidTr="00661E94">
        <w:trPr>
          <w:trHeight w:val="290"/>
        </w:trPr>
        <w:tc>
          <w:tcPr>
            <w:cnfStyle w:val="001000000000" w:firstRow="0" w:lastRow="0" w:firstColumn="1" w:lastColumn="0" w:oddVBand="0" w:evenVBand="0" w:oddHBand="0" w:evenHBand="0" w:firstRowFirstColumn="0" w:firstRowLastColumn="0" w:lastRowFirstColumn="0" w:lastRowLastColumn="0"/>
            <w:tcW w:w="621" w:type="pct"/>
            <w:noWrap/>
            <w:hideMark/>
          </w:tcPr>
          <w:p w14:paraId="2A77333B" w14:textId="77777777" w:rsidR="00661E94" w:rsidRPr="00EB1D71" w:rsidRDefault="00661E94" w:rsidP="00661E94">
            <w:pPr>
              <w:pStyle w:val="Table-Body-leftaligned-bold"/>
              <w:spacing w:before="144" w:after="144"/>
              <w:rPr>
                <w:rFonts w:asciiTheme="minorHAnsi" w:hAnsiTheme="minorHAnsi" w:cstheme="minorHAnsi"/>
                <w:lang w:eastAsia="en-GB"/>
              </w:rPr>
            </w:pPr>
            <w:r w:rsidRPr="00EB1D71">
              <w:rPr>
                <w:rFonts w:asciiTheme="minorHAnsi" w:hAnsiTheme="minorHAnsi" w:cstheme="minorHAnsi"/>
                <w:lang w:eastAsia="en-GB"/>
              </w:rPr>
              <w:t>CO</w:t>
            </w:r>
            <w:r w:rsidRPr="00EB1D71">
              <w:rPr>
                <w:rFonts w:asciiTheme="minorHAnsi" w:hAnsiTheme="minorHAnsi" w:cstheme="minorHAnsi"/>
                <w:vertAlign w:val="subscript"/>
                <w:lang w:eastAsia="en-GB"/>
              </w:rPr>
              <w:t>2</w:t>
            </w:r>
            <w:r w:rsidRPr="00EB1D71">
              <w:rPr>
                <w:rFonts w:asciiTheme="minorHAnsi" w:hAnsiTheme="minorHAnsi" w:cstheme="minorHAnsi"/>
                <w:lang w:eastAsia="en-GB"/>
              </w:rPr>
              <w:t xml:space="preserve"> Burst</w:t>
            </w:r>
          </w:p>
        </w:tc>
        <w:tc>
          <w:tcPr>
            <w:tcW w:w="730" w:type="pct"/>
            <w:noWrap/>
            <w:hideMark/>
          </w:tcPr>
          <w:p w14:paraId="39F538DF"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2.5</w:t>
            </w:r>
          </w:p>
        </w:tc>
        <w:tc>
          <w:tcPr>
            <w:tcW w:w="730" w:type="pct"/>
            <w:noWrap/>
            <w:hideMark/>
          </w:tcPr>
          <w:p w14:paraId="0F93A612"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3.5</w:t>
            </w:r>
          </w:p>
        </w:tc>
        <w:tc>
          <w:tcPr>
            <w:tcW w:w="730" w:type="pct"/>
            <w:noWrap/>
            <w:hideMark/>
          </w:tcPr>
          <w:p w14:paraId="2E56B8F6"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2.0</w:t>
            </w:r>
          </w:p>
        </w:tc>
        <w:tc>
          <w:tcPr>
            <w:tcW w:w="730" w:type="pct"/>
            <w:noWrap/>
            <w:hideMark/>
          </w:tcPr>
          <w:p w14:paraId="50028697"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3.3</w:t>
            </w:r>
          </w:p>
        </w:tc>
        <w:tc>
          <w:tcPr>
            <w:tcW w:w="730" w:type="pct"/>
            <w:noWrap/>
            <w:hideMark/>
          </w:tcPr>
          <w:p w14:paraId="0BF224CD"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5.3</w:t>
            </w:r>
          </w:p>
        </w:tc>
        <w:tc>
          <w:tcPr>
            <w:tcW w:w="730" w:type="pct"/>
            <w:noWrap/>
            <w:hideMark/>
          </w:tcPr>
          <w:p w14:paraId="637A8D0F"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4.3</w:t>
            </w:r>
          </w:p>
        </w:tc>
      </w:tr>
      <w:tr w:rsidR="00661E94" w:rsidRPr="00EB1D71" w14:paraId="593F206E" w14:textId="77777777" w:rsidTr="00661E94">
        <w:trPr>
          <w:trHeight w:val="290"/>
        </w:trPr>
        <w:tc>
          <w:tcPr>
            <w:cnfStyle w:val="001000000000" w:firstRow="0" w:lastRow="0" w:firstColumn="1" w:lastColumn="0" w:oddVBand="0" w:evenVBand="0" w:oddHBand="0" w:evenHBand="0" w:firstRowFirstColumn="0" w:firstRowLastColumn="0" w:lastRowFirstColumn="0" w:lastRowLastColumn="0"/>
            <w:tcW w:w="621" w:type="pct"/>
            <w:noWrap/>
            <w:hideMark/>
          </w:tcPr>
          <w:p w14:paraId="78E8CC88" w14:textId="77777777" w:rsidR="00661E94" w:rsidRPr="00EB1D71" w:rsidRDefault="00661E94" w:rsidP="00661E94">
            <w:pPr>
              <w:pStyle w:val="Table-Body-leftaligned-bold"/>
              <w:spacing w:before="144" w:after="144"/>
              <w:rPr>
                <w:rFonts w:asciiTheme="minorHAnsi" w:hAnsiTheme="minorHAnsi" w:cstheme="minorHAnsi"/>
                <w:lang w:eastAsia="en-GB"/>
              </w:rPr>
            </w:pPr>
            <w:r w:rsidRPr="00EB1D71">
              <w:rPr>
                <w:rFonts w:asciiTheme="minorHAnsi" w:hAnsiTheme="minorHAnsi" w:cstheme="minorHAnsi"/>
                <w:lang w:eastAsia="en-GB"/>
              </w:rPr>
              <w:t>PMN</w:t>
            </w:r>
          </w:p>
        </w:tc>
        <w:tc>
          <w:tcPr>
            <w:tcW w:w="730" w:type="pct"/>
            <w:noWrap/>
            <w:hideMark/>
          </w:tcPr>
          <w:p w14:paraId="15FB66D5"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3.3</w:t>
            </w:r>
          </w:p>
        </w:tc>
        <w:tc>
          <w:tcPr>
            <w:tcW w:w="730" w:type="pct"/>
            <w:noWrap/>
            <w:hideMark/>
          </w:tcPr>
          <w:p w14:paraId="68A4C2BB"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2.5</w:t>
            </w:r>
          </w:p>
        </w:tc>
        <w:tc>
          <w:tcPr>
            <w:tcW w:w="730" w:type="pct"/>
            <w:noWrap/>
            <w:hideMark/>
          </w:tcPr>
          <w:p w14:paraId="13CF7978" w14:textId="7EAFB269"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1.0*</w:t>
            </w:r>
          </w:p>
        </w:tc>
        <w:tc>
          <w:tcPr>
            <w:tcW w:w="730" w:type="pct"/>
            <w:noWrap/>
            <w:hideMark/>
          </w:tcPr>
          <w:p w14:paraId="1973BBE6"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3.7</w:t>
            </w:r>
          </w:p>
        </w:tc>
        <w:tc>
          <w:tcPr>
            <w:tcW w:w="730" w:type="pct"/>
            <w:noWrap/>
            <w:hideMark/>
          </w:tcPr>
          <w:p w14:paraId="07FC2F17"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5.7</w:t>
            </w:r>
          </w:p>
        </w:tc>
        <w:tc>
          <w:tcPr>
            <w:tcW w:w="730" w:type="pct"/>
            <w:noWrap/>
            <w:hideMark/>
          </w:tcPr>
          <w:p w14:paraId="70A7323C"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4.8</w:t>
            </w:r>
          </w:p>
        </w:tc>
      </w:tr>
      <w:tr w:rsidR="00661E94" w:rsidRPr="00EB1D71" w14:paraId="39FB9CC4" w14:textId="77777777" w:rsidTr="00661E94">
        <w:trPr>
          <w:trHeight w:val="290"/>
        </w:trPr>
        <w:tc>
          <w:tcPr>
            <w:cnfStyle w:val="001000000000" w:firstRow="0" w:lastRow="0" w:firstColumn="1" w:lastColumn="0" w:oddVBand="0" w:evenVBand="0" w:oddHBand="0" w:evenHBand="0" w:firstRowFirstColumn="0" w:firstRowLastColumn="0" w:lastRowFirstColumn="0" w:lastRowLastColumn="0"/>
            <w:tcW w:w="621" w:type="pct"/>
            <w:noWrap/>
            <w:hideMark/>
          </w:tcPr>
          <w:p w14:paraId="65CC06E2" w14:textId="77777777" w:rsidR="00661E94" w:rsidRPr="00EB1D71" w:rsidRDefault="00661E94" w:rsidP="00661E94">
            <w:pPr>
              <w:pStyle w:val="Table-Body-leftaligned-bold"/>
              <w:spacing w:before="144" w:after="144"/>
              <w:rPr>
                <w:rFonts w:asciiTheme="minorHAnsi" w:hAnsiTheme="minorHAnsi" w:cstheme="minorHAnsi"/>
                <w:lang w:eastAsia="en-GB"/>
              </w:rPr>
            </w:pPr>
            <w:r w:rsidRPr="00EB1D71">
              <w:rPr>
                <w:rFonts w:asciiTheme="minorHAnsi" w:hAnsiTheme="minorHAnsi" w:cstheme="minorHAnsi"/>
                <w:lang w:eastAsia="en-GB"/>
              </w:rPr>
              <w:t xml:space="preserve">Soil </w:t>
            </w:r>
            <w:proofErr w:type="spellStart"/>
            <w:r w:rsidRPr="00EB1D71">
              <w:rPr>
                <w:rFonts w:asciiTheme="minorHAnsi" w:hAnsiTheme="minorHAnsi" w:cstheme="minorHAnsi"/>
                <w:lang w:eastAsia="en-GB"/>
              </w:rPr>
              <w:t>Foodweb</w:t>
            </w:r>
            <w:proofErr w:type="spellEnd"/>
          </w:p>
        </w:tc>
        <w:tc>
          <w:tcPr>
            <w:tcW w:w="730" w:type="pct"/>
            <w:noWrap/>
            <w:hideMark/>
          </w:tcPr>
          <w:p w14:paraId="5F30EDA8"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4.7</w:t>
            </w:r>
          </w:p>
        </w:tc>
        <w:tc>
          <w:tcPr>
            <w:tcW w:w="730" w:type="pct"/>
            <w:noWrap/>
            <w:hideMark/>
          </w:tcPr>
          <w:p w14:paraId="731A32E6"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3.7</w:t>
            </w:r>
          </w:p>
        </w:tc>
        <w:tc>
          <w:tcPr>
            <w:tcW w:w="730" w:type="pct"/>
            <w:noWrap/>
            <w:hideMark/>
          </w:tcPr>
          <w:p w14:paraId="4F1F9ED6"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1.3</w:t>
            </w:r>
          </w:p>
        </w:tc>
        <w:tc>
          <w:tcPr>
            <w:tcW w:w="730" w:type="pct"/>
            <w:noWrap/>
            <w:hideMark/>
          </w:tcPr>
          <w:p w14:paraId="0B1D4632" w14:textId="355C6693"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1.7*</w:t>
            </w:r>
          </w:p>
        </w:tc>
        <w:tc>
          <w:tcPr>
            <w:tcW w:w="730" w:type="pct"/>
            <w:noWrap/>
            <w:hideMark/>
          </w:tcPr>
          <w:p w14:paraId="7D1AA674"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4.7</w:t>
            </w:r>
          </w:p>
        </w:tc>
        <w:tc>
          <w:tcPr>
            <w:tcW w:w="730" w:type="pct"/>
            <w:noWrap/>
            <w:hideMark/>
          </w:tcPr>
          <w:p w14:paraId="0270BC7C"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5.0</w:t>
            </w:r>
          </w:p>
        </w:tc>
      </w:tr>
      <w:tr w:rsidR="00661E94" w:rsidRPr="00EB1D71" w14:paraId="18F769E1" w14:textId="77777777" w:rsidTr="00661E94">
        <w:trPr>
          <w:trHeight w:val="290"/>
        </w:trPr>
        <w:tc>
          <w:tcPr>
            <w:cnfStyle w:val="001000000000" w:firstRow="0" w:lastRow="0" w:firstColumn="1" w:lastColumn="0" w:oddVBand="0" w:evenVBand="0" w:oddHBand="0" w:evenHBand="0" w:firstRowFirstColumn="0" w:firstRowLastColumn="0" w:lastRowFirstColumn="0" w:lastRowLastColumn="0"/>
            <w:tcW w:w="621" w:type="pct"/>
            <w:noWrap/>
            <w:hideMark/>
          </w:tcPr>
          <w:p w14:paraId="04B9DC22" w14:textId="77777777" w:rsidR="00661E94" w:rsidRPr="00EB1D71" w:rsidRDefault="00661E94" w:rsidP="00661E94">
            <w:pPr>
              <w:pStyle w:val="Table-Body-leftaligned-bold"/>
              <w:spacing w:before="144" w:after="144"/>
              <w:rPr>
                <w:rFonts w:asciiTheme="minorHAnsi" w:hAnsiTheme="minorHAnsi" w:cstheme="minorHAnsi"/>
                <w:lang w:eastAsia="en-GB"/>
              </w:rPr>
            </w:pPr>
            <w:r w:rsidRPr="00EB1D71">
              <w:rPr>
                <w:rFonts w:asciiTheme="minorHAnsi" w:hAnsiTheme="minorHAnsi" w:cstheme="minorHAnsi"/>
                <w:lang w:eastAsia="en-GB"/>
              </w:rPr>
              <w:t>Crop Roots</w:t>
            </w:r>
          </w:p>
        </w:tc>
        <w:tc>
          <w:tcPr>
            <w:tcW w:w="730" w:type="pct"/>
            <w:noWrap/>
            <w:hideMark/>
          </w:tcPr>
          <w:p w14:paraId="693EAF0F"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5.5</w:t>
            </w:r>
          </w:p>
        </w:tc>
        <w:tc>
          <w:tcPr>
            <w:tcW w:w="730" w:type="pct"/>
            <w:noWrap/>
            <w:hideMark/>
          </w:tcPr>
          <w:p w14:paraId="24CEC0D2"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2.0</w:t>
            </w:r>
          </w:p>
        </w:tc>
        <w:tc>
          <w:tcPr>
            <w:tcW w:w="730" w:type="pct"/>
            <w:noWrap/>
            <w:hideMark/>
          </w:tcPr>
          <w:p w14:paraId="2AC8011F"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3.0</w:t>
            </w:r>
          </w:p>
        </w:tc>
        <w:tc>
          <w:tcPr>
            <w:tcW w:w="730" w:type="pct"/>
            <w:noWrap/>
            <w:hideMark/>
          </w:tcPr>
          <w:p w14:paraId="55DFCB04"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4.0</w:t>
            </w:r>
          </w:p>
        </w:tc>
        <w:tc>
          <w:tcPr>
            <w:tcW w:w="730" w:type="pct"/>
            <w:noWrap/>
            <w:hideMark/>
          </w:tcPr>
          <w:p w14:paraId="057C409B"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3.3</w:t>
            </w:r>
          </w:p>
        </w:tc>
        <w:tc>
          <w:tcPr>
            <w:tcW w:w="730" w:type="pct"/>
            <w:noWrap/>
            <w:hideMark/>
          </w:tcPr>
          <w:p w14:paraId="0AC74038"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3.3</w:t>
            </w:r>
          </w:p>
        </w:tc>
      </w:tr>
      <w:tr w:rsidR="00661E94" w:rsidRPr="00EB1D71" w14:paraId="3FC95C24" w14:textId="77777777" w:rsidTr="00661E94">
        <w:trPr>
          <w:trHeight w:val="290"/>
        </w:trPr>
        <w:tc>
          <w:tcPr>
            <w:cnfStyle w:val="001000000000" w:firstRow="0" w:lastRow="0" w:firstColumn="1" w:lastColumn="0" w:oddVBand="0" w:evenVBand="0" w:oddHBand="0" w:evenHBand="0" w:firstRowFirstColumn="0" w:firstRowLastColumn="0" w:lastRowFirstColumn="0" w:lastRowLastColumn="0"/>
            <w:tcW w:w="621" w:type="pct"/>
            <w:noWrap/>
            <w:hideMark/>
          </w:tcPr>
          <w:p w14:paraId="66A5A5CB" w14:textId="77777777" w:rsidR="00661E94" w:rsidRPr="00EB1D71" w:rsidRDefault="00661E94" w:rsidP="00661E94">
            <w:pPr>
              <w:pStyle w:val="Table-Body-leftaligned-bold"/>
              <w:spacing w:before="144" w:after="144"/>
              <w:rPr>
                <w:rFonts w:asciiTheme="minorHAnsi" w:hAnsiTheme="minorHAnsi" w:cstheme="minorHAnsi"/>
                <w:lang w:eastAsia="en-GB"/>
              </w:rPr>
            </w:pPr>
            <w:r w:rsidRPr="00EB1D71">
              <w:rPr>
                <w:rFonts w:asciiTheme="minorHAnsi" w:hAnsiTheme="minorHAnsi" w:cstheme="minorHAnsi"/>
                <w:lang w:eastAsia="en-GB"/>
              </w:rPr>
              <w:t>Soil C Fractions</w:t>
            </w:r>
          </w:p>
        </w:tc>
        <w:tc>
          <w:tcPr>
            <w:tcW w:w="730" w:type="pct"/>
            <w:noWrap/>
            <w:hideMark/>
          </w:tcPr>
          <w:p w14:paraId="7BD63A67" w14:textId="0F491D3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1.6*</w:t>
            </w:r>
          </w:p>
        </w:tc>
        <w:tc>
          <w:tcPr>
            <w:tcW w:w="730" w:type="pct"/>
            <w:noWrap/>
            <w:hideMark/>
          </w:tcPr>
          <w:p w14:paraId="648B8391"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3.6</w:t>
            </w:r>
          </w:p>
        </w:tc>
        <w:tc>
          <w:tcPr>
            <w:tcW w:w="730" w:type="pct"/>
            <w:noWrap/>
            <w:hideMark/>
          </w:tcPr>
          <w:p w14:paraId="57433F25"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3.4</w:t>
            </w:r>
          </w:p>
        </w:tc>
        <w:tc>
          <w:tcPr>
            <w:tcW w:w="730" w:type="pct"/>
            <w:noWrap/>
            <w:hideMark/>
          </w:tcPr>
          <w:p w14:paraId="49DA56BE"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4.4</w:t>
            </w:r>
          </w:p>
        </w:tc>
        <w:tc>
          <w:tcPr>
            <w:tcW w:w="730" w:type="pct"/>
            <w:noWrap/>
            <w:hideMark/>
          </w:tcPr>
          <w:p w14:paraId="583E8ADE"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4.4</w:t>
            </w:r>
          </w:p>
        </w:tc>
        <w:tc>
          <w:tcPr>
            <w:tcW w:w="730" w:type="pct"/>
            <w:noWrap/>
            <w:hideMark/>
          </w:tcPr>
          <w:p w14:paraId="72624A4D"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3.6</w:t>
            </w:r>
          </w:p>
        </w:tc>
      </w:tr>
      <w:tr w:rsidR="00661E94" w:rsidRPr="00EB1D71" w14:paraId="7B0A58E9" w14:textId="77777777" w:rsidTr="00661E94">
        <w:trPr>
          <w:trHeight w:val="290"/>
        </w:trPr>
        <w:tc>
          <w:tcPr>
            <w:cnfStyle w:val="001000000000" w:firstRow="0" w:lastRow="0" w:firstColumn="1" w:lastColumn="0" w:oddVBand="0" w:evenVBand="0" w:oddHBand="0" w:evenHBand="0" w:firstRowFirstColumn="0" w:firstRowLastColumn="0" w:lastRowFirstColumn="0" w:lastRowLastColumn="0"/>
            <w:tcW w:w="621" w:type="pct"/>
            <w:noWrap/>
            <w:hideMark/>
          </w:tcPr>
          <w:p w14:paraId="2AE0A7C6" w14:textId="77777777" w:rsidR="00661E94" w:rsidRPr="00EB1D71" w:rsidRDefault="00661E94" w:rsidP="00661E94">
            <w:pPr>
              <w:pStyle w:val="Table-Body-leftaligned-bold"/>
              <w:spacing w:before="144" w:after="144"/>
              <w:rPr>
                <w:rFonts w:asciiTheme="minorHAnsi" w:hAnsiTheme="minorHAnsi" w:cstheme="minorHAnsi"/>
                <w:lang w:eastAsia="en-GB"/>
              </w:rPr>
            </w:pPr>
            <w:r w:rsidRPr="00EB1D71">
              <w:rPr>
                <w:rFonts w:asciiTheme="minorHAnsi" w:hAnsiTheme="minorHAnsi" w:cstheme="minorHAnsi"/>
                <w:lang w:eastAsia="en-GB"/>
              </w:rPr>
              <w:t>PLFA</w:t>
            </w:r>
          </w:p>
        </w:tc>
        <w:tc>
          <w:tcPr>
            <w:tcW w:w="730" w:type="pct"/>
            <w:noWrap/>
            <w:hideMark/>
          </w:tcPr>
          <w:p w14:paraId="0791107A"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4.0</w:t>
            </w:r>
          </w:p>
        </w:tc>
        <w:tc>
          <w:tcPr>
            <w:tcW w:w="730" w:type="pct"/>
            <w:noWrap/>
            <w:hideMark/>
          </w:tcPr>
          <w:p w14:paraId="6331DEFA"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4.0</w:t>
            </w:r>
          </w:p>
        </w:tc>
        <w:tc>
          <w:tcPr>
            <w:tcW w:w="730" w:type="pct"/>
            <w:noWrap/>
            <w:hideMark/>
          </w:tcPr>
          <w:p w14:paraId="0B4401AD" w14:textId="2F0288DC"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1.0*</w:t>
            </w:r>
          </w:p>
        </w:tc>
        <w:tc>
          <w:tcPr>
            <w:tcW w:w="730" w:type="pct"/>
            <w:noWrap/>
            <w:hideMark/>
          </w:tcPr>
          <w:p w14:paraId="4B01100E"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2.0</w:t>
            </w:r>
          </w:p>
        </w:tc>
        <w:tc>
          <w:tcPr>
            <w:tcW w:w="730" w:type="pct"/>
            <w:noWrap/>
            <w:hideMark/>
          </w:tcPr>
          <w:p w14:paraId="02D1CA7F"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5.5</w:t>
            </w:r>
          </w:p>
        </w:tc>
        <w:tc>
          <w:tcPr>
            <w:tcW w:w="730" w:type="pct"/>
            <w:noWrap/>
            <w:hideMark/>
          </w:tcPr>
          <w:p w14:paraId="455222B5"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4.5</w:t>
            </w:r>
          </w:p>
        </w:tc>
      </w:tr>
      <w:tr w:rsidR="00661E94" w:rsidRPr="00EB1D71" w14:paraId="1F07072A" w14:textId="77777777" w:rsidTr="00661E94">
        <w:trPr>
          <w:trHeight w:val="290"/>
        </w:trPr>
        <w:tc>
          <w:tcPr>
            <w:cnfStyle w:val="001000000000" w:firstRow="0" w:lastRow="0" w:firstColumn="1" w:lastColumn="0" w:oddVBand="0" w:evenVBand="0" w:oddHBand="0" w:evenHBand="0" w:firstRowFirstColumn="0" w:firstRowLastColumn="0" w:lastRowFirstColumn="0" w:lastRowLastColumn="0"/>
            <w:tcW w:w="621" w:type="pct"/>
            <w:noWrap/>
            <w:hideMark/>
          </w:tcPr>
          <w:p w14:paraId="5701EDB6" w14:textId="77777777" w:rsidR="00661E94" w:rsidRPr="00EB1D71" w:rsidRDefault="00661E94" w:rsidP="00661E94">
            <w:pPr>
              <w:pStyle w:val="Table-Body-leftaligned-bold"/>
              <w:spacing w:before="144" w:after="144"/>
              <w:rPr>
                <w:rFonts w:asciiTheme="minorHAnsi" w:hAnsiTheme="minorHAnsi" w:cstheme="minorHAnsi"/>
                <w:lang w:eastAsia="en-GB"/>
              </w:rPr>
            </w:pPr>
            <w:r w:rsidRPr="00EB1D71">
              <w:rPr>
                <w:rFonts w:asciiTheme="minorHAnsi" w:hAnsiTheme="minorHAnsi" w:cstheme="minorHAnsi"/>
                <w:lang w:eastAsia="en-GB"/>
              </w:rPr>
              <w:t>Enzymes</w:t>
            </w:r>
          </w:p>
        </w:tc>
        <w:tc>
          <w:tcPr>
            <w:tcW w:w="730" w:type="pct"/>
            <w:noWrap/>
            <w:hideMark/>
          </w:tcPr>
          <w:p w14:paraId="00093DC1"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3.5</w:t>
            </w:r>
          </w:p>
        </w:tc>
        <w:tc>
          <w:tcPr>
            <w:tcW w:w="730" w:type="pct"/>
            <w:noWrap/>
            <w:hideMark/>
          </w:tcPr>
          <w:p w14:paraId="7D92D865"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5.0</w:t>
            </w:r>
          </w:p>
        </w:tc>
        <w:tc>
          <w:tcPr>
            <w:tcW w:w="730" w:type="pct"/>
            <w:noWrap/>
            <w:hideMark/>
          </w:tcPr>
          <w:p w14:paraId="05849F3F" w14:textId="480CD2DF"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1.0*</w:t>
            </w:r>
          </w:p>
        </w:tc>
        <w:tc>
          <w:tcPr>
            <w:tcW w:w="730" w:type="pct"/>
            <w:noWrap/>
            <w:hideMark/>
          </w:tcPr>
          <w:p w14:paraId="4BDDDB13"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2.0</w:t>
            </w:r>
          </w:p>
        </w:tc>
        <w:tc>
          <w:tcPr>
            <w:tcW w:w="730" w:type="pct"/>
            <w:noWrap/>
            <w:hideMark/>
          </w:tcPr>
          <w:p w14:paraId="192A41AB"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4.5</w:t>
            </w:r>
          </w:p>
        </w:tc>
        <w:tc>
          <w:tcPr>
            <w:tcW w:w="730" w:type="pct"/>
            <w:noWrap/>
            <w:hideMark/>
          </w:tcPr>
          <w:p w14:paraId="052607D4"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5.0</w:t>
            </w:r>
          </w:p>
        </w:tc>
      </w:tr>
      <w:tr w:rsidR="00661E94" w:rsidRPr="00EB1D71" w14:paraId="0FC8C894" w14:textId="77777777" w:rsidTr="00661E94">
        <w:trPr>
          <w:trHeight w:val="290"/>
        </w:trPr>
        <w:tc>
          <w:tcPr>
            <w:cnfStyle w:val="001000000000" w:firstRow="0" w:lastRow="0" w:firstColumn="1" w:lastColumn="0" w:oddVBand="0" w:evenVBand="0" w:oddHBand="0" w:evenHBand="0" w:firstRowFirstColumn="0" w:firstRowLastColumn="0" w:lastRowFirstColumn="0" w:lastRowLastColumn="0"/>
            <w:tcW w:w="621" w:type="pct"/>
            <w:noWrap/>
            <w:hideMark/>
          </w:tcPr>
          <w:p w14:paraId="6BAAA41B" w14:textId="77777777" w:rsidR="00661E94" w:rsidRPr="00EB1D71" w:rsidRDefault="00661E94" w:rsidP="00661E94">
            <w:pPr>
              <w:pStyle w:val="Table-Body-leftaligned-bold"/>
              <w:spacing w:before="144" w:after="144"/>
              <w:rPr>
                <w:rFonts w:asciiTheme="minorHAnsi" w:hAnsiTheme="minorHAnsi" w:cstheme="minorHAnsi"/>
                <w:lang w:eastAsia="en-GB"/>
              </w:rPr>
            </w:pPr>
            <w:r w:rsidRPr="00EB1D71">
              <w:rPr>
                <w:rFonts w:asciiTheme="minorHAnsi" w:hAnsiTheme="minorHAnsi" w:cstheme="minorHAnsi"/>
                <w:lang w:eastAsia="en-GB"/>
              </w:rPr>
              <w:t>Functional Genes</w:t>
            </w:r>
          </w:p>
        </w:tc>
        <w:tc>
          <w:tcPr>
            <w:tcW w:w="730" w:type="pct"/>
            <w:noWrap/>
            <w:hideMark/>
          </w:tcPr>
          <w:p w14:paraId="0C669573"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3.0</w:t>
            </w:r>
          </w:p>
        </w:tc>
        <w:tc>
          <w:tcPr>
            <w:tcW w:w="730" w:type="pct"/>
            <w:noWrap/>
            <w:hideMark/>
          </w:tcPr>
          <w:p w14:paraId="56801725"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4.5</w:t>
            </w:r>
          </w:p>
        </w:tc>
        <w:tc>
          <w:tcPr>
            <w:tcW w:w="730" w:type="pct"/>
            <w:noWrap/>
            <w:hideMark/>
          </w:tcPr>
          <w:p w14:paraId="0B04D364" w14:textId="7EBD87B9"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1.0*</w:t>
            </w:r>
          </w:p>
        </w:tc>
        <w:tc>
          <w:tcPr>
            <w:tcW w:w="730" w:type="pct"/>
            <w:noWrap/>
            <w:hideMark/>
          </w:tcPr>
          <w:p w14:paraId="532E5AD9"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2.0</w:t>
            </w:r>
          </w:p>
        </w:tc>
        <w:tc>
          <w:tcPr>
            <w:tcW w:w="730" w:type="pct"/>
            <w:noWrap/>
            <w:hideMark/>
          </w:tcPr>
          <w:p w14:paraId="34602786"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5.5</w:t>
            </w:r>
          </w:p>
        </w:tc>
        <w:tc>
          <w:tcPr>
            <w:tcW w:w="730" w:type="pct"/>
            <w:noWrap/>
            <w:hideMark/>
          </w:tcPr>
          <w:p w14:paraId="67D920B6"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5.0</w:t>
            </w:r>
          </w:p>
        </w:tc>
      </w:tr>
      <w:tr w:rsidR="00661E94" w:rsidRPr="00EB1D71" w14:paraId="1CCB47A1" w14:textId="77777777" w:rsidTr="00661E94">
        <w:trPr>
          <w:trHeight w:val="290"/>
        </w:trPr>
        <w:tc>
          <w:tcPr>
            <w:cnfStyle w:val="001000000000" w:firstRow="0" w:lastRow="0" w:firstColumn="1" w:lastColumn="0" w:oddVBand="0" w:evenVBand="0" w:oddHBand="0" w:evenHBand="0" w:firstRowFirstColumn="0" w:firstRowLastColumn="0" w:lastRowFirstColumn="0" w:lastRowLastColumn="0"/>
            <w:tcW w:w="621" w:type="pct"/>
            <w:noWrap/>
            <w:hideMark/>
          </w:tcPr>
          <w:p w14:paraId="24C37CCE" w14:textId="77777777" w:rsidR="00661E94" w:rsidRPr="00EB1D71" w:rsidRDefault="00661E94" w:rsidP="00661E94">
            <w:pPr>
              <w:pStyle w:val="Table-Body-leftaligned-bold"/>
              <w:spacing w:before="144" w:after="144"/>
              <w:rPr>
                <w:rFonts w:asciiTheme="minorHAnsi" w:hAnsiTheme="minorHAnsi" w:cstheme="minorHAnsi"/>
                <w:lang w:eastAsia="en-GB"/>
              </w:rPr>
            </w:pPr>
            <w:r w:rsidRPr="00EB1D71">
              <w:rPr>
                <w:rFonts w:asciiTheme="minorHAnsi" w:hAnsiTheme="minorHAnsi" w:cstheme="minorHAnsi"/>
                <w:lang w:eastAsia="en-GB"/>
              </w:rPr>
              <w:t>Aggregates</w:t>
            </w:r>
          </w:p>
        </w:tc>
        <w:tc>
          <w:tcPr>
            <w:tcW w:w="730" w:type="pct"/>
            <w:noWrap/>
            <w:hideMark/>
          </w:tcPr>
          <w:p w14:paraId="7A97B6A9"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3.6</w:t>
            </w:r>
          </w:p>
        </w:tc>
        <w:tc>
          <w:tcPr>
            <w:tcW w:w="730" w:type="pct"/>
            <w:noWrap/>
            <w:hideMark/>
          </w:tcPr>
          <w:p w14:paraId="29476AB5"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3.4</w:t>
            </w:r>
          </w:p>
        </w:tc>
        <w:tc>
          <w:tcPr>
            <w:tcW w:w="730" w:type="pct"/>
            <w:noWrap/>
            <w:hideMark/>
          </w:tcPr>
          <w:p w14:paraId="33D5583A"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4.0</w:t>
            </w:r>
          </w:p>
        </w:tc>
        <w:tc>
          <w:tcPr>
            <w:tcW w:w="730" w:type="pct"/>
            <w:noWrap/>
            <w:hideMark/>
          </w:tcPr>
          <w:p w14:paraId="1AA684EF"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5.0</w:t>
            </w:r>
          </w:p>
        </w:tc>
        <w:tc>
          <w:tcPr>
            <w:tcW w:w="730" w:type="pct"/>
            <w:noWrap/>
            <w:hideMark/>
          </w:tcPr>
          <w:p w14:paraId="014692D4" w14:textId="57309B2A"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3.0*</w:t>
            </w:r>
          </w:p>
        </w:tc>
        <w:tc>
          <w:tcPr>
            <w:tcW w:w="730" w:type="pct"/>
            <w:noWrap/>
            <w:hideMark/>
          </w:tcPr>
          <w:p w14:paraId="0B7B85DE" w14:textId="77777777" w:rsidR="00661E94" w:rsidRPr="00EB1D71" w:rsidRDefault="00661E94" w:rsidP="00661E94">
            <w:pPr>
              <w:pStyle w:val="Table-Body-centred"/>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eastAsia="en-GB"/>
              </w:rPr>
            </w:pPr>
            <w:r w:rsidRPr="00EB1D71">
              <w:rPr>
                <w:rFonts w:asciiTheme="minorHAnsi" w:hAnsiTheme="minorHAnsi" w:cstheme="minorHAnsi"/>
                <w:lang w:eastAsia="en-GB"/>
              </w:rPr>
              <w:t>2.0</w:t>
            </w:r>
          </w:p>
        </w:tc>
      </w:tr>
    </w:tbl>
    <w:p w14:paraId="6944CACE" w14:textId="77777777" w:rsidR="00661E94" w:rsidRPr="00EB1D71" w:rsidRDefault="00661E94">
      <w:pPr>
        <w:spacing w:line="278" w:lineRule="auto"/>
        <w:rPr>
          <w:rFonts w:asciiTheme="minorHAnsi" w:hAnsiTheme="minorHAnsi" w:cstheme="minorHAnsi"/>
        </w:rPr>
      </w:pPr>
    </w:p>
    <w:p w14:paraId="6E37AADA" w14:textId="77777777" w:rsidR="00661E94" w:rsidRPr="00EB1D71" w:rsidRDefault="00661E94">
      <w:pPr>
        <w:spacing w:line="278" w:lineRule="auto"/>
        <w:rPr>
          <w:rFonts w:asciiTheme="minorHAnsi" w:hAnsiTheme="minorHAnsi" w:cstheme="minorHAnsi"/>
        </w:rPr>
        <w:sectPr w:rsidR="00661E94" w:rsidRPr="00EB1D71" w:rsidSect="00661E94">
          <w:pgSz w:w="16838" w:h="11906" w:orient="landscape"/>
          <w:pgMar w:top="1418" w:right="1418" w:bottom="1418" w:left="1418" w:header="709" w:footer="454" w:gutter="0"/>
          <w:cols w:space="708"/>
          <w:docGrid w:linePitch="360"/>
        </w:sectPr>
      </w:pPr>
    </w:p>
    <w:p w14:paraId="5B146384" w14:textId="77777777" w:rsidR="00661E94" w:rsidRPr="00AE2A6A" w:rsidRDefault="00661E94" w:rsidP="00661E94">
      <w:pPr>
        <w:pStyle w:val="Heading3"/>
        <w:rPr>
          <w:rFonts w:asciiTheme="minorHAnsi" w:hAnsiTheme="minorHAnsi" w:cstheme="minorHAnsi"/>
          <w:color w:val="006197" w:themeColor="text1" w:themeShade="BF"/>
        </w:rPr>
      </w:pPr>
      <w:bookmarkStart w:id="124" w:name="_Toc228622106"/>
      <w:bookmarkStart w:id="125" w:name="_Toc234580979"/>
      <w:r w:rsidRPr="00AE2A6A">
        <w:rPr>
          <w:rFonts w:asciiTheme="minorHAnsi" w:hAnsiTheme="minorHAnsi" w:cstheme="minorHAnsi"/>
          <w:color w:val="006197" w:themeColor="text1" w:themeShade="BF"/>
        </w:rPr>
        <w:lastRenderedPageBreak/>
        <w:t>Outline of final stakeholder workshops</w:t>
      </w:r>
      <w:bookmarkEnd w:id="124"/>
      <w:bookmarkEnd w:id="125"/>
    </w:p>
    <w:p w14:paraId="7D37D70E" w14:textId="27E3C5C9" w:rsidR="009A568B" w:rsidRPr="00EB1D71" w:rsidRDefault="009A568B" w:rsidP="009A568B">
      <w:pPr>
        <w:pStyle w:val="Caption"/>
        <w:keepNext/>
        <w:rPr>
          <w:rFonts w:asciiTheme="minorHAnsi" w:hAnsiTheme="minorHAnsi" w:cstheme="minorHAnsi"/>
        </w:rPr>
      </w:pPr>
      <w:r w:rsidRPr="00EB1D71">
        <w:rPr>
          <w:rFonts w:asciiTheme="minorHAnsi" w:hAnsiTheme="minorHAnsi" w:cstheme="minorHAnsi"/>
        </w:rPr>
        <w:t xml:space="preserve">Table </w:t>
      </w:r>
      <w:r w:rsidRPr="00EB1D71">
        <w:rPr>
          <w:rFonts w:asciiTheme="minorHAnsi" w:hAnsiTheme="minorHAnsi" w:cstheme="minorHAnsi"/>
        </w:rPr>
        <w:fldChar w:fldCharType="begin"/>
      </w:r>
      <w:r w:rsidRPr="00EB1D71">
        <w:rPr>
          <w:rFonts w:asciiTheme="minorHAnsi" w:hAnsiTheme="minorHAnsi" w:cstheme="minorHAnsi"/>
        </w:rPr>
        <w:instrText xml:space="preserve"> SEQ Table \* ARABIC </w:instrText>
      </w:r>
      <w:r w:rsidRPr="00EB1D71">
        <w:rPr>
          <w:rFonts w:asciiTheme="minorHAnsi" w:hAnsiTheme="minorHAnsi" w:cstheme="minorHAnsi"/>
        </w:rPr>
        <w:fldChar w:fldCharType="separate"/>
      </w:r>
      <w:r w:rsidR="00C400DA">
        <w:rPr>
          <w:rFonts w:asciiTheme="minorHAnsi" w:hAnsiTheme="minorHAnsi" w:cstheme="minorHAnsi"/>
          <w:noProof/>
        </w:rPr>
        <w:t>20</w:t>
      </w:r>
      <w:r w:rsidRPr="00EB1D71">
        <w:rPr>
          <w:rFonts w:asciiTheme="minorHAnsi" w:hAnsiTheme="minorHAnsi" w:cstheme="minorHAnsi"/>
          <w:noProof/>
        </w:rPr>
        <w:fldChar w:fldCharType="end"/>
      </w:r>
      <w:r w:rsidRPr="00EB1D71">
        <w:rPr>
          <w:rFonts w:asciiTheme="minorHAnsi" w:hAnsiTheme="minorHAnsi" w:cstheme="minorHAnsi"/>
        </w:rPr>
        <w:t>. Outline of final stakeholder workshops</w:t>
      </w:r>
    </w:p>
    <w:tbl>
      <w:tblPr>
        <w:tblStyle w:val="TableGrid"/>
        <w:tblW w:w="4790" w:type="pct"/>
        <w:tblLayout w:type="fixed"/>
        <w:tblLook w:val="04A0" w:firstRow="1" w:lastRow="0" w:firstColumn="1" w:lastColumn="0" w:noHBand="0" w:noVBand="1"/>
      </w:tblPr>
      <w:tblGrid>
        <w:gridCol w:w="2123"/>
        <w:gridCol w:w="11281"/>
      </w:tblGrid>
      <w:tr w:rsidR="00661E94" w:rsidRPr="00EB1D71" w14:paraId="1A4D885B" w14:textId="77777777" w:rsidTr="00661E9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2" w:type="pct"/>
          </w:tcPr>
          <w:p w14:paraId="24E5CE9A" w14:textId="77777777" w:rsidR="00661E94" w:rsidRPr="00EB1D71" w:rsidRDefault="00661E94" w:rsidP="00C4041A">
            <w:pPr>
              <w:spacing w:before="144" w:after="144"/>
              <w:rPr>
                <w:rFonts w:asciiTheme="minorHAnsi" w:hAnsiTheme="minorHAnsi" w:cstheme="minorHAnsi"/>
              </w:rPr>
            </w:pPr>
            <w:r w:rsidRPr="00EB1D71">
              <w:rPr>
                <w:rFonts w:asciiTheme="minorHAnsi" w:hAnsiTheme="minorHAnsi" w:cstheme="minorHAnsi"/>
              </w:rPr>
              <w:t>Workshop task</w:t>
            </w:r>
          </w:p>
        </w:tc>
        <w:tc>
          <w:tcPr>
            <w:tcW w:w="4208" w:type="pct"/>
          </w:tcPr>
          <w:p w14:paraId="1F339E53" w14:textId="77777777" w:rsidR="00661E94" w:rsidRPr="00EB1D71" w:rsidRDefault="00661E94" w:rsidP="00C4041A">
            <w:pPr>
              <w:spacing w:before="144" w:after="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Content</w:t>
            </w:r>
          </w:p>
        </w:tc>
      </w:tr>
      <w:tr w:rsidR="00661E94" w:rsidRPr="00EB1D71" w14:paraId="30D8604D" w14:textId="77777777" w:rsidTr="00661E94">
        <w:trPr>
          <w:trHeight w:val="1134"/>
        </w:trPr>
        <w:tc>
          <w:tcPr>
            <w:cnfStyle w:val="001000000000" w:firstRow="0" w:lastRow="0" w:firstColumn="1" w:lastColumn="0" w:oddVBand="0" w:evenVBand="0" w:oddHBand="0" w:evenHBand="0" w:firstRowFirstColumn="0" w:firstRowLastColumn="0" w:lastRowFirstColumn="0" w:lastRowLastColumn="0"/>
            <w:tcW w:w="792" w:type="pct"/>
          </w:tcPr>
          <w:p w14:paraId="2B74D95C" w14:textId="77777777" w:rsidR="00661E94" w:rsidRPr="00EB1D71" w:rsidRDefault="00661E94" w:rsidP="00661E94">
            <w:pPr>
              <w:pStyle w:val="Table-Body-leftaligned"/>
              <w:rPr>
                <w:rFonts w:asciiTheme="minorHAnsi" w:hAnsiTheme="minorHAnsi"/>
                <w:b w:val="0"/>
                <w:bCs/>
              </w:rPr>
            </w:pPr>
            <w:r w:rsidRPr="00EB1D71">
              <w:rPr>
                <w:rFonts w:asciiTheme="minorHAnsi" w:hAnsiTheme="minorHAnsi"/>
                <w:b w:val="0"/>
                <w:bCs/>
              </w:rPr>
              <w:t>Introduction to the project and context</w:t>
            </w:r>
          </w:p>
        </w:tc>
        <w:tc>
          <w:tcPr>
            <w:tcW w:w="4208" w:type="pct"/>
          </w:tcPr>
          <w:p w14:paraId="3CC37125"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Presentation: What are soil health indicators? Introduction to the current SHSc. Explanation about the need for early indicators.</w:t>
            </w:r>
          </w:p>
        </w:tc>
      </w:tr>
      <w:tr w:rsidR="00661E94" w:rsidRPr="00EB1D71" w14:paraId="0D025202" w14:textId="77777777" w:rsidTr="00661E94">
        <w:tc>
          <w:tcPr>
            <w:cnfStyle w:val="001000000000" w:firstRow="0" w:lastRow="0" w:firstColumn="1" w:lastColumn="0" w:oddVBand="0" w:evenVBand="0" w:oddHBand="0" w:evenHBand="0" w:firstRowFirstColumn="0" w:firstRowLastColumn="0" w:lastRowFirstColumn="0" w:lastRowLastColumn="0"/>
            <w:tcW w:w="792" w:type="pct"/>
          </w:tcPr>
          <w:p w14:paraId="77F324DD" w14:textId="77777777" w:rsidR="00661E94" w:rsidRPr="00EB1D71" w:rsidRDefault="00661E94" w:rsidP="00661E94">
            <w:pPr>
              <w:pStyle w:val="Table-Body-leftaligned"/>
              <w:rPr>
                <w:rFonts w:asciiTheme="minorHAnsi" w:hAnsiTheme="minorHAnsi"/>
                <w:b w:val="0"/>
                <w:bCs/>
              </w:rPr>
            </w:pPr>
            <w:r w:rsidRPr="00EB1D71">
              <w:rPr>
                <w:rFonts w:asciiTheme="minorHAnsi" w:hAnsiTheme="minorHAnsi"/>
                <w:b w:val="0"/>
                <w:bCs/>
              </w:rPr>
              <w:t>First participant Menti survey</w:t>
            </w:r>
          </w:p>
        </w:tc>
        <w:tc>
          <w:tcPr>
            <w:tcW w:w="4208" w:type="pct"/>
          </w:tcPr>
          <w:p w14:paraId="45DA29A5"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Q1: Do you currently conduct soil health testing on your farm or through your business? (yes/no)</w:t>
            </w:r>
          </w:p>
          <w:p w14:paraId="5D7C866A"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Q2: What soil health tests do you use most frequently? (</w:t>
            </w:r>
            <w:proofErr w:type="spellStart"/>
            <w:r w:rsidRPr="00EB1D71">
              <w:rPr>
                <w:rFonts w:asciiTheme="minorHAnsi" w:hAnsiTheme="minorHAnsi" w:cstheme="minorHAnsi"/>
              </w:rPr>
              <w:t>wordcloud</w:t>
            </w:r>
            <w:proofErr w:type="spellEnd"/>
            <w:r w:rsidRPr="00EB1D71">
              <w:rPr>
                <w:rFonts w:asciiTheme="minorHAnsi" w:hAnsiTheme="minorHAnsi" w:cstheme="minorHAnsi"/>
              </w:rPr>
              <w:t>)</w:t>
            </w:r>
          </w:p>
          <w:p w14:paraId="0D3D8ACB"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Q3: Can you provide a few words to describe the features of a useful soil health indicator? (free text)</w:t>
            </w:r>
          </w:p>
        </w:tc>
      </w:tr>
      <w:tr w:rsidR="00661E94" w:rsidRPr="00EB1D71" w14:paraId="2AEE3722" w14:textId="77777777" w:rsidTr="00661E94">
        <w:tc>
          <w:tcPr>
            <w:cnfStyle w:val="001000000000" w:firstRow="0" w:lastRow="0" w:firstColumn="1" w:lastColumn="0" w:oddVBand="0" w:evenVBand="0" w:oddHBand="0" w:evenHBand="0" w:firstRowFirstColumn="0" w:firstRowLastColumn="0" w:lastRowFirstColumn="0" w:lastRowLastColumn="0"/>
            <w:tcW w:w="792" w:type="pct"/>
          </w:tcPr>
          <w:p w14:paraId="2D10DC69" w14:textId="77777777" w:rsidR="00661E94" w:rsidRPr="00EB1D71" w:rsidRDefault="00661E94" w:rsidP="00661E94">
            <w:pPr>
              <w:pStyle w:val="Table-Body-leftaligned"/>
              <w:rPr>
                <w:rFonts w:asciiTheme="minorHAnsi" w:hAnsiTheme="minorHAnsi"/>
                <w:b w:val="0"/>
                <w:bCs/>
              </w:rPr>
            </w:pPr>
            <w:r w:rsidRPr="00EB1D71">
              <w:rPr>
                <w:rFonts w:asciiTheme="minorHAnsi" w:hAnsiTheme="minorHAnsi"/>
                <w:b w:val="0"/>
                <w:bCs/>
              </w:rPr>
              <w:t>First breakout room – introduction</w:t>
            </w:r>
          </w:p>
        </w:tc>
        <w:tc>
          <w:tcPr>
            <w:tcW w:w="4208" w:type="pct"/>
          </w:tcPr>
          <w:p w14:paraId="7AE47F22"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 xml:space="preserve">Presentation: What criteria have we been using to evaluate early indicators to monitor soil health? </w:t>
            </w:r>
          </w:p>
        </w:tc>
      </w:tr>
      <w:tr w:rsidR="00661E94" w:rsidRPr="00EB1D71" w14:paraId="46CED969" w14:textId="77777777" w:rsidTr="00661E94">
        <w:tc>
          <w:tcPr>
            <w:cnfStyle w:val="001000000000" w:firstRow="0" w:lastRow="0" w:firstColumn="1" w:lastColumn="0" w:oddVBand="0" w:evenVBand="0" w:oddHBand="0" w:evenHBand="0" w:firstRowFirstColumn="0" w:firstRowLastColumn="0" w:lastRowFirstColumn="0" w:lastRowLastColumn="0"/>
            <w:tcW w:w="792" w:type="pct"/>
          </w:tcPr>
          <w:p w14:paraId="0FC5EFE4" w14:textId="77777777" w:rsidR="00661E94" w:rsidRPr="00EB1D71" w:rsidRDefault="00661E94" w:rsidP="00661E94">
            <w:pPr>
              <w:pStyle w:val="Table-Body-leftaligned"/>
              <w:rPr>
                <w:rFonts w:asciiTheme="minorHAnsi" w:hAnsiTheme="minorHAnsi"/>
                <w:b w:val="0"/>
                <w:bCs/>
              </w:rPr>
            </w:pPr>
            <w:r w:rsidRPr="00EB1D71">
              <w:rPr>
                <w:rFonts w:asciiTheme="minorHAnsi" w:hAnsiTheme="minorHAnsi"/>
                <w:b w:val="0"/>
                <w:bCs/>
              </w:rPr>
              <w:t>First breakout room – discussions</w:t>
            </w:r>
          </w:p>
        </w:tc>
        <w:tc>
          <w:tcPr>
            <w:tcW w:w="4208" w:type="pct"/>
          </w:tcPr>
          <w:p w14:paraId="3790BDD1"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Moderated discussion with whiteboard; guiding questions – Why do you think it is important to measure soil health? What factors are most important to you when deciding which soil health test to use? What are the benefits of good soil health for the farm? What are the benefits of good soil health to wider society?</w:t>
            </w:r>
          </w:p>
        </w:tc>
      </w:tr>
      <w:tr w:rsidR="00661E94" w:rsidRPr="00EB1D71" w14:paraId="391312A8" w14:textId="77777777" w:rsidTr="00661E94">
        <w:tc>
          <w:tcPr>
            <w:cnfStyle w:val="001000000000" w:firstRow="0" w:lastRow="0" w:firstColumn="1" w:lastColumn="0" w:oddVBand="0" w:evenVBand="0" w:oddHBand="0" w:evenHBand="0" w:firstRowFirstColumn="0" w:firstRowLastColumn="0" w:lastRowFirstColumn="0" w:lastRowLastColumn="0"/>
            <w:tcW w:w="792" w:type="pct"/>
          </w:tcPr>
          <w:p w14:paraId="08776CDC" w14:textId="77777777" w:rsidR="00661E94" w:rsidRPr="00EB1D71" w:rsidRDefault="00661E94" w:rsidP="00661E94">
            <w:pPr>
              <w:pStyle w:val="Table-Body-leftaligned"/>
              <w:rPr>
                <w:rFonts w:asciiTheme="minorHAnsi" w:hAnsiTheme="minorHAnsi"/>
                <w:b w:val="0"/>
                <w:bCs/>
              </w:rPr>
            </w:pPr>
            <w:r w:rsidRPr="00EB1D71">
              <w:rPr>
                <w:rFonts w:asciiTheme="minorHAnsi" w:hAnsiTheme="minorHAnsi"/>
                <w:b w:val="0"/>
                <w:bCs/>
              </w:rPr>
              <w:lastRenderedPageBreak/>
              <w:t>Second participant Menti survey</w:t>
            </w:r>
          </w:p>
        </w:tc>
        <w:tc>
          <w:tcPr>
            <w:tcW w:w="4208" w:type="pct"/>
          </w:tcPr>
          <w:p w14:paraId="6897F3FC"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 xml:space="preserve">Q1: Put the following criteria in order from most important to least important when selecting an indicator of soil health. (Sensitive to management change, </w:t>
            </w:r>
            <w:proofErr w:type="gramStart"/>
            <w:r w:rsidRPr="00EB1D71">
              <w:rPr>
                <w:rFonts w:asciiTheme="minorHAnsi" w:hAnsiTheme="minorHAnsi" w:cstheme="minorHAnsi"/>
              </w:rPr>
              <w:t>Good</w:t>
            </w:r>
            <w:proofErr w:type="gramEnd"/>
            <w:r w:rsidRPr="00EB1D71">
              <w:rPr>
                <w:rFonts w:asciiTheme="minorHAnsi" w:hAnsiTheme="minorHAnsi" w:cstheme="minorHAnsi"/>
              </w:rPr>
              <w:t xml:space="preserve"> availability of UK data, Low cost, Low number of field samples required, Easy to understand and interpret, </w:t>
            </w:r>
            <w:proofErr w:type="gramStart"/>
            <w:r w:rsidRPr="00EB1D71">
              <w:rPr>
                <w:rFonts w:asciiTheme="minorHAnsi" w:hAnsiTheme="minorHAnsi" w:cstheme="minorHAnsi"/>
              </w:rPr>
              <w:t>Clearly</w:t>
            </w:r>
            <w:proofErr w:type="gramEnd"/>
            <w:r w:rsidRPr="00EB1D71">
              <w:rPr>
                <w:rFonts w:asciiTheme="minorHAnsi" w:hAnsiTheme="minorHAnsi" w:cstheme="minorHAnsi"/>
              </w:rPr>
              <w:t xml:space="preserve"> linked to soil health)</w:t>
            </w:r>
          </w:p>
          <w:p w14:paraId="2877F000"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 xml:space="preserve">Q2: Put the following ecosystem services from agricultural soils in order from most important to least important. (Efficiently cycles and supplies nitrogen to crops, </w:t>
            </w:r>
            <w:proofErr w:type="gramStart"/>
            <w:r w:rsidRPr="00EB1D71">
              <w:rPr>
                <w:rFonts w:asciiTheme="minorHAnsi" w:hAnsiTheme="minorHAnsi" w:cstheme="minorHAnsi"/>
              </w:rPr>
              <w:t>Efficiently</w:t>
            </w:r>
            <w:proofErr w:type="gramEnd"/>
            <w:r w:rsidRPr="00EB1D71">
              <w:rPr>
                <w:rFonts w:asciiTheme="minorHAnsi" w:hAnsiTheme="minorHAnsi" w:cstheme="minorHAnsi"/>
              </w:rPr>
              <w:t xml:space="preserve"> cycles and supplies P &amp; K to crops, </w:t>
            </w:r>
            <w:proofErr w:type="gramStart"/>
            <w:r w:rsidRPr="00EB1D71">
              <w:rPr>
                <w:rFonts w:asciiTheme="minorHAnsi" w:hAnsiTheme="minorHAnsi" w:cstheme="minorHAnsi"/>
              </w:rPr>
              <w:t>Absorbs</w:t>
            </w:r>
            <w:proofErr w:type="gramEnd"/>
            <w:r w:rsidRPr="00EB1D71">
              <w:rPr>
                <w:rFonts w:asciiTheme="minorHAnsi" w:hAnsiTheme="minorHAnsi" w:cstheme="minorHAnsi"/>
              </w:rPr>
              <w:t xml:space="preserve"> water to reduce flooding off site, </w:t>
            </w:r>
            <w:proofErr w:type="gramStart"/>
            <w:r w:rsidRPr="00EB1D71">
              <w:rPr>
                <w:rFonts w:asciiTheme="minorHAnsi" w:hAnsiTheme="minorHAnsi" w:cstheme="minorHAnsi"/>
              </w:rPr>
              <w:t>Absorbs</w:t>
            </w:r>
            <w:proofErr w:type="gramEnd"/>
            <w:r w:rsidRPr="00EB1D71">
              <w:rPr>
                <w:rFonts w:asciiTheme="minorHAnsi" w:hAnsiTheme="minorHAnsi" w:cstheme="minorHAnsi"/>
              </w:rPr>
              <w:t xml:space="preserve"> water and improves drought resilience, </w:t>
            </w:r>
            <w:proofErr w:type="gramStart"/>
            <w:r w:rsidRPr="00EB1D71">
              <w:rPr>
                <w:rFonts w:asciiTheme="minorHAnsi" w:hAnsiTheme="minorHAnsi" w:cstheme="minorHAnsi"/>
              </w:rPr>
              <w:t>Captures</w:t>
            </w:r>
            <w:proofErr w:type="gramEnd"/>
            <w:r w:rsidRPr="00EB1D71">
              <w:rPr>
                <w:rFonts w:asciiTheme="minorHAnsi" w:hAnsiTheme="minorHAnsi" w:cstheme="minorHAnsi"/>
              </w:rPr>
              <w:t xml:space="preserve"> carbon for climate change mitigation, Supports good food and fibre production)</w:t>
            </w:r>
          </w:p>
          <w:p w14:paraId="1C3F0798"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Q3: Have we missed out any important criteria? please let us know below. (free text)</w:t>
            </w:r>
          </w:p>
        </w:tc>
      </w:tr>
      <w:tr w:rsidR="00661E94" w:rsidRPr="00EB1D71" w14:paraId="14479B29" w14:textId="77777777" w:rsidTr="00661E94">
        <w:tc>
          <w:tcPr>
            <w:cnfStyle w:val="001000000000" w:firstRow="0" w:lastRow="0" w:firstColumn="1" w:lastColumn="0" w:oddVBand="0" w:evenVBand="0" w:oddHBand="0" w:evenHBand="0" w:firstRowFirstColumn="0" w:firstRowLastColumn="0" w:lastRowFirstColumn="0" w:lastRowLastColumn="0"/>
            <w:tcW w:w="792" w:type="pct"/>
          </w:tcPr>
          <w:p w14:paraId="2BBF98F7" w14:textId="77777777" w:rsidR="00661E94" w:rsidRPr="00EB1D71" w:rsidRDefault="00661E94" w:rsidP="00661E94">
            <w:pPr>
              <w:pStyle w:val="Table-Body-leftaligned"/>
              <w:rPr>
                <w:rFonts w:asciiTheme="minorHAnsi" w:hAnsiTheme="minorHAnsi"/>
                <w:b w:val="0"/>
                <w:bCs/>
              </w:rPr>
            </w:pPr>
            <w:r w:rsidRPr="00EB1D71">
              <w:rPr>
                <w:rFonts w:asciiTheme="minorHAnsi" w:hAnsiTheme="minorHAnsi"/>
                <w:b w:val="0"/>
                <w:bCs/>
              </w:rPr>
              <w:t>Shortlisting of indicators so far</w:t>
            </w:r>
          </w:p>
        </w:tc>
        <w:tc>
          <w:tcPr>
            <w:tcW w:w="4208" w:type="pct"/>
          </w:tcPr>
          <w:p w14:paraId="705BFEB7"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Presentation: Delphi process and expert input; outcomes of expert shortlist for more in-depth evidence review</w:t>
            </w:r>
          </w:p>
        </w:tc>
      </w:tr>
      <w:tr w:rsidR="00661E94" w:rsidRPr="00EB1D71" w14:paraId="1C157B3E" w14:textId="77777777" w:rsidTr="00661E94">
        <w:tc>
          <w:tcPr>
            <w:cnfStyle w:val="001000000000" w:firstRow="0" w:lastRow="0" w:firstColumn="1" w:lastColumn="0" w:oddVBand="0" w:evenVBand="0" w:oddHBand="0" w:evenHBand="0" w:firstRowFirstColumn="0" w:firstRowLastColumn="0" w:lastRowFirstColumn="0" w:lastRowLastColumn="0"/>
            <w:tcW w:w="792" w:type="pct"/>
          </w:tcPr>
          <w:p w14:paraId="1A181DEF" w14:textId="77777777" w:rsidR="00661E94" w:rsidRPr="00EB1D71" w:rsidRDefault="00661E94" w:rsidP="00661E94">
            <w:pPr>
              <w:pStyle w:val="Table-Body-leftaligned"/>
              <w:rPr>
                <w:rFonts w:asciiTheme="minorHAnsi" w:hAnsiTheme="minorHAnsi"/>
                <w:b w:val="0"/>
                <w:bCs/>
              </w:rPr>
            </w:pPr>
            <w:r w:rsidRPr="00EB1D71">
              <w:rPr>
                <w:rFonts w:asciiTheme="minorHAnsi" w:hAnsiTheme="minorHAnsi"/>
                <w:b w:val="0"/>
                <w:bCs/>
              </w:rPr>
              <w:t>Summary of each indicator method</w:t>
            </w:r>
          </w:p>
        </w:tc>
        <w:tc>
          <w:tcPr>
            <w:tcW w:w="4208" w:type="pct"/>
          </w:tcPr>
          <w:p w14:paraId="2A41097B"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Presentations: What it is, what it tells us, what we have learned from the evidence review on the criteria</w:t>
            </w:r>
          </w:p>
        </w:tc>
      </w:tr>
      <w:tr w:rsidR="00661E94" w:rsidRPr="00EB1D71" w14:paraId="01DF3DD2" w14:textId="77777777" w:rsidTr="00661E94">
        <w:tc>
          <w:tcPr>
            <w:cnfStyle w:val="001000000000" w:firstRow="0" w:lastRow="0" w:firstColumn="1" w:lastColumn="0" w:oddVBand="0" w:evenVBand="0" w:oddHBand="0" w:evenHBand="0" w:firstRowFirstColumn="0" w:firstRowLastColumn="0" w:lastRowFirstColumn="0" w:lastRowLastColumn="0"/>
            <w:tcW w:w="792" w:type="pct"/>
          </w:tcPr>
          <w:p w14:paraId="7F25BEE7" w14:textId="77777777" w:rsidR="00661E94" w:rsidRPr="00EB1D71" w:rsidRDefault="00661E94" w:rsidP="00661E94">
            <w:pPr>
              <w:pStyle w:val="Table-Body-leftaligned"/>
              <w:rPr>
                <w:rFonts w:asciiTheme="minorHAnsi" w:hAnsiTheme="minorHAnsi"/>
                <w:b w:val="0"/>
                <w:bCs/>
              </w:rPr>
            </w:pPr>
            <w:r w:rsidRPr="00EB1D71">
              <w:rPr>
                <w:rFonts w:asciiTheme="minorHAnsi" w:hAnsiTheme="minorHAnsi"/>
                <w:b w:val="0"/>
                <w:bCs/>
              </w:rPr>
              <w:t>Second breakout room – discussions and group feedback</w:t>
            </w:r>
          </w:p>
        </w:tc>
        <w:tc>
          <w:tcPr>
            <w:tcW w:w="4208" w:type="pct"/>
          </w:tcPr>
          <w:p w14:paraId="6619ABC3"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Moderated discussion with whiteboard; focused on reactions to the four indicators identified: Aggregate stability, Active carbon, Crop root architecture (“</w:t>
            </w:r>
            <w:proofErr w:type="spellStart"/>
            <w:r w:rsidRPr="00EB1D71">
              <w:rPr>
                <w:rFonts w:asciiTheme="minorHAnsi" w:hAnsiTheme="minorHAnsi" w:cstheme="minorHAnsi"/>
              </w:rPr>
              <w:t>shovelomics</w:t>
            </w:r>
            <w:proofErr w:type="spellEnd"/>
            <w:r w:rsidRPr="00EB1D71">
              <w:rPr>
                <w:rFonts w:asciiTheme="minorHAnsi" w:hAnsiTheme="minorHAnsi" w:cstheme="minorHAnsi"/>
              </w:rPr>
              <w:t xml:space="preserve">”), Potentially </w:t>
            </w:r>
            <w:proofErr w:type="spellStart"/>
            <w:r w:rsidRPr="00EB1D71">
              <w:rPr>
                <w:rFonts w:asciiTheme="minorHAnsi" w:hAnsiTheme="minorHAnsi" w:cstheme="minorHAnsi"/>
              </w:rPr>
              <w:t>mineralisable</w:t>
            </w:r>
            <w:proofErr w:type="spellEnd"/>
            <w:r w:rsidRPr="00EB1D71">
              <w:rPr>
                <w:rFonts w:asciiTheme="minorHAnsi" w:hAnsiTheme="minorHAnsi" w:cstheme="minorHAnsi"/>
              </w:rPr>
              <w:t xml:space="preserve"> nitrogen. Also, comments on: What have we missed? Your preferred metrics of soil health </w:t>
            </w:r>
          </w:p>
        </w:tc>
      </w:tr>
      <w:tr w:rsidR="00661E94" w:rsidRPr="00EB1D71" w14:paraId="6F0DFBD9" w14:textId="77777777" w:rsidTr="00661E94">
        <w:tc>
          <w:tcPr>
            <w:cnfStyle w:val="001000000000" w:firstRow="0" w:lastRow="0" w:firstColumn="1" w:lastColumn="0" w:oddVBand="0" w:evenVBand="0" w:oddHBand="0" w:evenHBand="0" w:firstRowFirstColumn="0" w:firstRowLastColumn="0" w:lastRowFirstColumn="0" w:lastRowLastColumn="0"/>
            <w:tcW w:w="792" w:type="pct"/>
          </w:tcPr>
          <w:p w14:paraId="6C535CEE" w14:textId="77777777" w:rsidR="00661E94" w:rsidRPr="00EB1D71" w:rsidRDefault="00661E94" w:rsidP="00661E94">
            <w:pPr>
              <w:pStyle w:val="Table-Body-leftaligned"/>
              <w:rPr>
                <w:rFonts w:asciiTheme="minorHAnsi" w:hAnsiTheme="minorHAnsi"/>
                <w:b w:val="0"/>
                <w:bCs/>
              </w:rPr>
            </w:pPr>
            <w:r w:rsidRPr="00EB1D71">
              <w:rPr>
                <w:rFonts w:asciiTheme="minorHAnsi" w:hAnsiTheme="minorHAnsi"/>
                <w:b w:val="0"/>
                <w:bCs/>
              </w:rPr>
              <w:t>Third participant Menti survey</w:t>
            </w:r>
          </w:p>
        </w:tc>
        <w:tc>
          <w:tcPr>
            <w:tcW w:w="4208" w:type="pct"/>
          </w:tcPr>
          <w:p w14:paraId="552106C8"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For each of the four indicators, participants voted to “Definitely include”, “Definitely exclude” or “I don't have enough knowledge to say”. They were also provided with a final opportunity to comment in response to: “Would you like to add any further comments on choice of early indicators of soil health?”</w:t>
            </w:r>
          </w:p>
        </w:tc>
      </w:tr>
      <w:tr w:rsidR="00661E94" w:rsidRPr="00EB1D71" w14:paraId="02080983" w14:textId="77777777" w:rsidTr="00661E94">
        <w:trPr>
          <w:trHeight w:val="1134"/>
        </w:trPr>
        <w:tc>
          <w:tcPr>
            <w:cnfStyle w:val="001000000000" w:firstRow="0" w:lastRow="0" w:firstColumn="1" w:lastColumn="0" w:oddVBand="0" w:evenVBand="0" w:oddHBand="0" w:evenHBand="0" w:firstRowFirstColumn="0" w:firstRowLastColumn="0" w:lastRowFirstColumn="0" w:lastRowLastColumn="0"/>
            <w:tcW w:w="792" w:type="pct"/>
          </w:tcPr>
          <w:p w14:paraId="0683A1D5" w14:textId="77777777" w:rsidR="00661E94" w:rsidRPr="00EB1D71" w:rsidRDefault="00661E94" w:rsidP="00661E94">
            <w:pPr>
              <w:pStyle w:val="Table-Body-leftaligned"/>
              <w:rPr>
                <w:rFonts w:asciiTheme="minorHAnsi" w:hAnsiTheme="minorHAnsi"/>
                <w:b w:val="0"/>
                <w:bCs/>
              </w:rPr>
            </w:pPr>
            <w:r w:rsidRPr="00EB1D71">
              <w:rPr>
                <w:rFonts w:asciiTheme="minorHAnsi" w:hAnsiTheme="minorHAnsi"/>
                <w:b w:val="0"/>
                <w:bCs/>
              </w:rPr>
              <w:t xml:space="preserve">Final remarks/next steps </w:t>
            </w:r>
          </w:p>
        </w:tc>
        <w:tc>
          <w:tcPr>
            <w:tcW w:w="4208" w:type="pct"/>
          </w:tcPr>
          <w:p w14:paraId="02E40E5F" w14:textId="77777777" w:rsidR="00661E94" w:rsidRPr="00EB1D71" w:rsidRDefault="00661E94" w:rsidP="00C4041A">
            <w:pPr>
              <w:spacing w:before="144"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B1D71">
              <w:rPr>
                <w:rFonts w:asciiTheme="minorHAnsi" w:hAnsiTheme="minorHAnsi" w:cstheme="minorHAnsi"/>
              </w:rPr>
              <w:t>Informal wrap-up, discussion of next steps</w:t>
            </w:r>
          </w:p>
        </w:tc>
      </w:tr>
    </w:tbl>
    <w:p w14:paraId="0C353E9B" w14:textId="77777777" w:rsidR="00661E94" w:rsidRPr="00EB1D71" w:rsidRDefault="00661E94">
      <w:pPr>
        <w:spacing w:line="278" w:lineRule="auto"/>
        <w:rPr>
          <w:rFonts w:asciiTheme="minorHAnsi" w:hAnsiTheme="minorHAnsi" w:cstheme="minorHAnsi"/>
        </w:rPr>
      </w:pPr>
    </w:p>
    <w:p w14:paraId="4D84ECB4" w14:textId="77777777" w:rsidR="00661E94" w:rsidRPr="00EB1D71" w:rsidRDefault="00661E94">
      <w:pPr>
        <w:spacing w:line="278" w:lineRule="auto"/>
        <w:rPr>
          <w:rFonts w:asciiTheme="minorHAnsi" w:hAnsiTheme="minorHAnsi" w:cstheme="minorHAnsi"/>
        </w:rPr>
        <w:sectPr w:rsidR="00661E94" w:rsidRPr="00EB1D71" w:rsidSect="00661E94">
          <w:pgSz w:w="16838" w:h="11906" w:orient="landscape"/>
          <w:pgMar w:top="1418" w:right="1418" w:bottom="1418" w:left="1418" w:header="709" w:footer="454" w:gutter="0"/>
          <w:cols w:space="708"/>
          <w:docGrid w:linePitch="360"/>
        </w:sectPr>
      </w:pPr>
    </w:p>
    <w:p w14:paraId="421FA7E6" w14:textId="18A6D46E" w:rsidR="00D70DC8" w:rsidRDefault="007C610F" w:rsidP="003616CC">
      <w:pPr>
        <w:pStyle w:val="Heading3"/>
      </w:pPr>
      <w:bookmarkStart w:id="126" w:name="_Toc234580980"/>
      <w:r w:rsidRPr="00EB1D71">
        <w:rPr>
          <w:noProof/>
        </w:rPr>
        <w:lastRenderedPageBreak/>
        <w:drawing>
          <wp:anchor distT="0" distB="0" distL="114300" distR="114300" simplePos="0" relativeHeight="251658244" behindDoc="0" locked="0" layoutInCell="1" allowOverlap="1" wp14:anchorId="03A71E27" wp14:editId="53303FF3">
            <wp:simplePos x="0" y="0"/>
            <wp:positionH relativeFrom="column">
              <wp:posOffset>5069969</wp:posOffset>
            </wp:positionH>
            <wp:positionV relativeFrom="page">
              <wp:posOffset>9791700</wp:posOffset>
            </wp:positionV>
            <wp:extent cx="941522" cy="406400"/>
            <wp:effectExtent l="0" t="0" r="0" b="0"/>
            <wp:wrapNone/>
            <wp:docPr id="359035747" name="Pictur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35747" name="Picture 79">
                      <a:extLst>
                        <a:ext uri="{C183D7F6-B498-43B3-948B-1728B52AA6E4}">
                          <adec:decorative xmlns:adec="http://schemas.microsoft.com/office/drawing/2017/decorative" val="1"/>
                        </a:ext>
                      </a:extLst>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941522" cy="406400"/>
                    </a:xfrm>
                    <a:prstGeom prst="rect">
                      <a:avLst/>
                    </a:prstGeom>
                  </pic:spPr>
                </pic:pic>
              </a:graphicData>
            </a:graphic>
            <wp14:sizeRelH relativeFrom="page">
              <wp14:pctWidth>0</wp14:pctWidth>
            </wp14:sizeRelH>
            <wp14:sizeRelV relativeFrom="page">
              <wp14:pctHeight>0</wp14:pctHeight>
            </wp14:sizeRelV>
          </wp:anchor>
        </w:drawing>
      </w:r>
      <w:r w:rsidR="003616CC">
        <w:t>Factsheet</w:t>
      </w:r>
      <w:r w:rsidR="004A5456">
        <w:t xml:space="preserve"> content</w:t>
      </w:r>
      <w:bookmarkEnd w:id="126"/>
    </w:p>
    <w:p w14:paraId="7F9D6B38" w14:textId="301E60BA" w:rsidR="00B2640F" w:rsidRDefault="000503DF" w:rsidP="00A33808">
      <w:r w:rsidRPr="00EB1D71">
        <w:rPr>
          <w:rFonts w:asciiTheme="minorHAnsi" w:hAnsiTheme="minorHAnsi" w:cstheme="minorHAnsi"/>
        </w:rPr>
        <w:t>Updated “explainer” factsheet</w:t>
      </w:r>
      <w:r>
        <w:rPr>
          <w:rFonts w:asciiTheme="minorHAnsi" w:hAnsiTheme="minorHAnsi" w:cstheme="minorHAnsi"/>
        </w:rPr>
        <w:t xml:space="preserve"> content </w:t>
      </w:r>
      <w:r w:rsidRPr="00EB1D71">
        <w:rPr>
          <w:rFonts w:asciiTheme="minorHAnsi" w:hAnsiTheme="minorHAnsi" w:cstheme="minorHAnsi"/>
        </w:rPr>
        <w:t xml:space="preserve">for knowledge exchange on the utility and value of </w:t>
      </w:r>
      <w:r>
        <w:rPr>
          <w:rFonts w:asciiTheme="minorHAnsi" w:hAnsiTheme="minorHAnsi" w:cstheme="minorHAnsi"/>
        </w:rPr>
        <w:t xml:space="preserve">PMN, </w:t>
      </w:r>
      <w:r w:rsidR="00895057">
        <w:rPr>
          <w:rFonts w:asciiTheme="minorHAnsi" w:hAnsiTheme="minorHAnsi" w:cstheme="minorHAnsi"/>
        </w:rPr>
        <w:t>active carbon (</w:t>
      </w:r>
      <w:r>
        <w:rPr>
          <w:rFonts w:asciiTheme="minorHAnsi" w:hAnsiTheme="minorHAnsi" w:cstheme="minorHAnsi"/>
        </w:rPr>
        <w:t>POXC</w:t>
      </w:r>
      <w:r w:rsidR="00895057">
        <w:rPr>
          <w:rFonts w:asciiTheme="minorHAnsi" w:hAnsiTheme="minorHAnsi" w:cstheme="minorHAnsi"/>
        </w:rPr>
        <w:t>)</w:t>
      </w:r>
      <w:r>
        <w:rPr>
          <w:rFonts w:asciiTheme="minorHAnsi" w:hAnsiTheme="minorHAnsi" w:cstheme="minorHAnsi"/>
        </w:rPr>
        <w:t xml:space="preserve"> and aggregate stability </w:t>
      </w:r>
      <w:r w:rsidRPr="00EB1D71">
        <w:rPr>
          <w:rFonts w:asciiTheme="minorHAnsi" w:hAnsiTheme="minorHAnsi" w:cstheme="minorHAnsi"/>
        </w:rPr>
        <w:t>as early indicators to monitor changes in soil health.</w:t>
      </w:r>
    </w:p>
    <w:p w14:paraId="3D16F244" w14:textId="37833B53" w:rsidR="00B918E5" w:rsidRPr="002F3555" w:rsidRDefault="001A0EC4" w:rsidP="003B4920">
      <w:pPr>
        <w:pStyle w:val="Heading4"/>
      </w:pPr>
      <w:r>
        <w:t>Explainer for p</w:t>
      </w:r>
      <w:r w:rsidR="00B918E5" w:rsidRPr="002F3555">
        <w:t>otentially minerali</w:t>
      </w:r>
      <w:r w:rsidR="00B918E5">
        <w:t>s</w:t>
      </w:r>
      <w:r w:rsidR="00B918E5" w:rsidRPr="002F3555">
        <w:t>able nitrogen</w:t>
      </w:r>
    </w:p>
    <w:p w14:paraId="70AE53ED" w14:textId="77777777" w:rsidR="00B918E5" w:rsidRPr="002F3555" w:rsidRDefault="00B918E5" w:rsidP="003B4920">
      <w:pPr>
        <w:pStyle w:val="ListParagraph"/>
        <w:numPr>
          <w:ilvl w:val="0"/>
          <w:numId w:val="50"/>
        </w:numPr>
      </w:pPr>
      <w:r w:rsidRPr="002F3555">
        <w:t>Tests the ability of the microbial community to supply plant available nitrogen</w:t>
      </w:r>
    </w:p>
    <w:p w14:paraId="6AD6A035" w14:textId="77777777" w:rsidR="00B918E5" w:rsidRPr="002F3555" w:rsidRDefault="00B918E5" w:rsidP="003B4920">
      <w:pPr>
        <w:pStyle w:val="ListParagraph"/>
        <w:numPr>
          <w:ilvl w:val="0"/>
          <w:numId w:val="50"/>
        </w:numPr>
      </w:pPr>
      <w:r w:rsidRPr="002F3555">
        <w:t>Outcome of active soil biology</w:t>
      </w:r>
    </w:p>
    <w:p w14:paraId="46CD0DDC" w14:textId="77777777" w:rsidR="00B918E5" w:rsidRPr="002F3555" w:rsidRDefault="00B918E5" w:rsidP="003B4920">
      <w:pPr>
        <w:pStyle w:val="ListParagraph"/>
        <w:numPr>
          <w:ilvl w:val="0"/>
          <w:numId w:val="50"/>
        </w:numPr>
      </w:pPr>
      <w:r w:rsidRPr="002F3555">
        <w:t>Influenced by agricultural management practices</w:t>
      </w:r>
    </w:p>
    <w:p w14:paraId="43998D75" w14:textId="77777777" w:rsidR="00B918E5" w:rsidRPr="002F3555" w:rsidRDefault="00B918E5" w:rsidP="003B4920">
      <w:pPr>
        <w:pStyle w:val="ListParagraph"/>
        <w:numPr>
          <w:ilvl w:val="0"/>
          <w:numId w:val="50"/>
        </w:numPr>
      </w:pPr>
      <w:r w:rsidRPr="002F3555">
        <w:t>Indicates changes in soil health more rapidly than soil organic matter changes</w:t>
      </w:r>
    </w:p>
    <w:p w14:paraId="74D4A7DA" w14:textId="77777777" w:rsidR="00B918E5" w:rsidRPr="002F3555" w:rsidRDefault="00B918E5" w:rsidP="003B4920">
      <w:pPr>
        <w:pStyle w:val="ListParagraph"/>
        <w:numPr>
          <w:ilvl w:val="0"/>
          <w:numId w:val="50"/>
        </w:numPr>
      </w:pPr>
      <w:r w:rsidRPr="002F3555">
        <w:t>Widely offered test from commercial laboratories</w:t>
      </w:r>
    </w:p>
    <w:p w14:paraId="3458E2A3" w14:textId="598302E4" w:rsidR="00B918E5" w:rsidRPr="00D90FD8" w:rsidRDefault="00B918E5" w:rsidP="00B918E5">
      <w:r w:rsidRPr="00D90FD8">
        <w:t xml:space="preserve">With so much interest in soil health these days, many farmers are looking for properties they can measure to tell them how their soil management is affecting their soil’s health. The current soil health indicators in AHDB’s soil health scorecard are recommended for testing every 3 to 5 years, but farmers are looking for indicators that will tell them sooner how a recent change in management has affected their soil health. These </w:t>
      </w:r>
      <w:r>
        <w:t>e</w:t>
      </w:r>
      <w:r w:rsidRPr="00D90FD8">
        <w:t xml:space="preserve">arly </w:t>
      </w:r>
      <w:r>
        <w:t>i</w:t>
      </w:r>
      <w:r w:rsidRPr="00D90FD8">
        <w:t xml:space="preserve">ndicators to </w:t>
      </w:r>
      <w:r>
        <w:t>m</w:t>
      </w:r>
      <w:r w:rsidRPr="00D90FD8">
        <w:t xml:space="preserve">onitor </w:t>
      </w:r>
      <w:r>
        <w:t>c</w:t>
      </w:r>
      <w:r w:rsidRPr="00D90FD8">
        <w:t xml:space="preserve">hanges in </w:t>
      </w:r>
      <w:r>
        <w:t>s</w:t>
      </w:r>
      <w:r w:rsidRPr="00D90FD8">
        <w:t xml:space="preserve">oil </w:t>
      </w:r>
      <w:r>
        <w:t>h</w:t>
      </w:r>
      <w:r w:rsidRPr="00D90FD8">
        <w:t xml:space="preserve">ealth need to be sensitive to management, but not so sensitive that they will be affected by recent weather or land operations. This factsheet summarises </w:t>
      </w:r>
      <w:r w:rsidRPr="00B918E5">
        <w:t>how potentially mineralisable nitrogen</w:t>
      </w:r>
      <w:r w:rsidRPr="00D90FD8">
        <w:t xml:space="preserve"> can be used as an early indicator to monitor a change in soil health. </w:t>
      </w:r>
    </w:p>
    <w:p w14:paraId="532F5124" w14:textId="77777777" w:rsidR="00B918E5" w:rsidRPr="002F3555" w:rsidRDefault="00B918E5" w:rsidP="004A5456">
      <w:pPr>
        <w:pStyle w:val="Heading4"/>
      </w:pPr>
      <w:r w:rsidRPr="002F3555">
        <w:t xml:space="preserve">What is </w:t>
      </w:r>
      <w:r>
        <w:t>potentially mineralisable nitrogen</w:t>
      </w:r>
      <w:r w:rsidRPr="002F3555">
        <w:t>?</w:t>
      </w:r>
    </w:p>
    <w:p w14:paraId="5948B9DA" w14:textId="77777777" w:rsidR="00B918E5" w:rsidRDefault="00B918E5" w:rsidP="004A5456">
      <w:r>
        <w:t xml:space="preserve">Potentially mineralisable nitrogen - sometimes referred to as PMN – is the proportion of the organic nitrogen in soil that can be converted into plant available (or mineral) nitrogen (ammonium and nitrate) by soil microbes. </w:t>
      </w:r>
    </w:p>
    <w:p w14:paraId="560ECFFD" w14:textId="77777777" w:rsidR="00B918E5" w:rsidRDefault="00B918E5" w:rsidP="004A5456">
      <w:r>
        <w:t>Plants need to take up nitrogen to grow successfully. Nitrogen exists in several forms in soil and the easiest forms for plants to use are mineral forms including ammonium and nitrate. Most nitrogen enters the soil system as organic nitrogen – nitrogen built into dead and decaying plant and animal material – this material must be degraded by soil microbes to be transferred into the plant available, mineral nitrogen pool.</w:t>
      </w:r>
    </w:p>
    <w:p w14:paraId="114DF70D" w14:textId="77777777" w:rsidR="00B918E5" w:rsidRDefault="00B918E5" w:rsidP="004A5456">
      <w:r>
        <w:t xml:space="preserve">Understanding the ability of the soil microbial community to convert organic nitrogen into plant available nitrogen can help inform nutrient planning and potentially reduce the amount of synthetic nitrogen needed during </w:t>
      </w:r>
      <w:proofErr w:type="gramStart"/>
      <w:r>
        <w:t>particular stages</w:t>
      </w:r>
      <w:proofErr w:type="gramEnd"/>
      <w:r>
        <w:t xml:space="preserve"> of crop growth. This will be particularly important in organic or other low input systems.</w:t>
      </w:r>
    </w:p>
    <w:p w14:paraId="770B74E7" w14:textId="77777777" w:rsidR="00B918E5" w:rsidRDefault="00B918E5" w:rsidP="004A5456">
      <w:r>
        <w:t xml:space="preserve">The PMN test is a direct measure of one biological aspect of soil health – the ability to transfer nitrogen stored in the organic pool in soil (decomposing plant or animal material) to the inorganic, plant and microbe available pool. This process is essential to both plant and microbial growth and, particularly in low input systems, is a key aspect of soil health.  </w:t>
      </w:r>
    </w:p>
    <w:p w14:paraId="02EA4E3D" w14:textId="77777777" w:rsidR="00B918E5" w:rsidRDefault="00B918E5" w:rsidP="004A5456">
      <w:pPr>
        <w:pStyle w:val="Heading4"/>
      </w:pPr>
      <w:r>
        <w:t>What controls PMN?</w:t>
      </w:r>
    </w:p>
    <w:p w14:paraId="71C83ECB" w14:textId="3DCAC068" w:rsidR="00B918E5" w:rsidRDefault="00B918E5" w:rsidP="004A5456">
      <w:r>
        <w:t xml:space="preserve">Soil mineral nitrogen is </w:t>
      </w:r>
      <w:r w:rsidR="00474E44">
        <w:t xml:space="preserve">influenced </w:t>
      </w:r>
      <w:r>
        <w:t>in various ways. From a biological perspective soil mineral nitrogen is supplied by the soil microbial community (</w:t>
      </w:r>
      <w:proofErr w:type="spellStart"/>
      <w:r>
        <w:t>Zhaoli</w:t>
      </w:r>
      <w:proofErr w:type="spellEnd"/>
      <w:r>
        <w:t xml:space="preserve"> et al.) although in conventional UK agriculture the addition of synthetic fertiliser </w:t>
      </w:r>
      <w:r w:rsidR="00F94F0A">
        <w:t>may</w:t>
      </w:r>
      <w:r>
        <w:t xml:space="preserve"> </w:t>
      </w:r>
      <w:r w:rsidR="004B2B25">
        <w:t xml:space="preserve">supersede </w:t>
      </w:r>
      <w:r>
        <w:t xml:space="preserve">the </w:t>
      </w:r>
      <w:r w:rsidR="008A0C24">
        <w:t xml:space="preserve">supply </w:t>
      </w:r>
      <w:r w:rsidR="00D72E45">
        <w:t xml:space="preserve">from </w:t>
      </w:r>
      <w:r>
        <w:t xml:space="preserve">PMN. Soil PMN is controlled or influenced by various factors, some of which can be managed and some of which cannot. </w:t>
      </w:r>
    </w:p>
    <w:p w14:paraId="64C3B11E" w14:textId="797CC50B" w:rsidR="004E4F12" w:rsidRDefault="004E4F12" w:rsidP="004E4F12">
      <w:pPr>
        <w:pStyle w:val="Heading5"/>
      </w:pPr>
      <w:r>
        <w:lastRenderedPageBreak/>
        <w:t>Manageable controls</w:t>
      </w:r>
    </w:p>
    <w:p w14:paraId="7D30700D" w14:textId="77777777" w:rsidR="004E4F12" w:rsidRDefault="004E4F12" w:rsidP="004E4F12">
      <w:pPr>
        <w:pStyle w:val="Heading6"/>
        <w:rPr>
          <w:rFonts w:cstheme="minorBidi"/>
        </w:rPr>
      </w:pPr>
      <w:r>
        <w:t>Cultivation</w:t>
      </w:r>
    </w:p>
    <w:p w14:paraId="779526BE" w14:textId="0F710098" w:rsidR="004E4F12" w:rsidRPr="004E4F12" w:rsidRDefault="004E4F12" w:rsidP="004E4F12">
      <w:r w:rsidRPr="004E4F12">
        <w:t>Cultivation result</w:t>
      </w:r>
      <w:r>
        <w:t>s</w:t>
      </w:r>
      <w:r w:rsidRPr="004E4F12">
        <w:t xml:space="preserve"> in in higher PMN within season (Rasmussen et al., 1998) however, </w:t>
      </w:r>
      <w:r w:rsidRPr="004E4F12">
        <w:rPr>
          <w:b/>
          <w:bCs/>
          <w:i/>
          <w:iCs/>
        </w:rPr>
        <w:t>repeated</w:t>
      </w:r>
      <w:r w:rsidRPr="004E4F12">
        <w:t xml:space="preserve"> cultivation particularly without organic matter inputs can lead to reduced PMN </w:t>
      </w:r>
      <w:r>
        <w:t xml:space="preserve">in the long term </w:t>
      </w:r>
      <w:r w:rsidRPr="004E4F12">
        <w:t>because of reduced organic matter concentrations (Mahal et al., 1998).</w:t>
      </w:r>
    </w:p>
    <w:p w14:paraId="5813E7AF" w14:textId="3BA0F511" w:rsidR="004E4F12" w:rsidRDefault="004E4F12" w:rsidP="004E4F12">
      <w:r w:rsidRPr="002F3555">
        <w:t xml:space="preserve">There is also evidence that conservation tillage practices can result in higher PMN </w:t>
      </w:r>
      <w:r>
        <w:t>(Mahal et al., 1998)</w:t>
      </w:r>
      <w:r w:rsidRPr="002F3555">
        <w:t>.</w:t>
      </w:r>
    </w:p>
    <w:p w14:paraId="3D9FA8CF" w14:textId="77777777" w:rsidR="004E4F12" w:rsidRDefault="004E4F12" w:rsidP="004E4F12">
      <w:pPr>
        <w:pStyle w:val="Heading6"/>
      </w:pPr>
      <w:r>
        <w:t>Organic matter inputs</w:t>
      </w:r>
    </w:p>
    <w:p w14:paraId="311BD92E" w14:textId="30C2844F" w:rsidR="004E4F12" w:rsidRDefault="004E4F12" w:rsidP="004E4F12">
      <w:r>
        <w:t xml:space="preserve">Soil with higher levels of organic matter tend to have higher PMN although this will be mediated by soil texture. This means that systems with high levels of organic matter return to the soil will likely have higher PMN (Spargo et al., 2011). </w:t>
      </w:r>
    </w:p>
    <w:p w14:paraId="72F10AA9" w14:textId="36B45D87" w:rsidR="004E4F12" w:rsidRPr="004E4F12" w:rsidRDefault="004E4F12" w:rsidP="004E4F12">
      <w:r>
        <w:t>Organic matter type is also likely important, organic matter with higher nitrogen concentrations will likely result in higher PMN (</w:t>
      </w:r>
      <w:proofErr w:type="spellStart"/>
      <w:r>
        <w:t>Osterholz</w:t>
      </w:r>
      <w:proofErr w:type="spellEnd"/>
      <w:r>
        <w:t xml:space="preserve"> et al., 2017).</w:t>
      </w:r>
    </w:p>
    <w:p w14:paraId="55257167" w14:textId="77777777" w:rsidR="004E4F12" w:rsidRDefault="004E4F12" w:rsidP="004E4F12">
      <w:pPr>
        <w:pStyle w:val="Heading6"/>
      </w:pPr>
      <w:r>
        <w:t>Soil structure</w:t>
      </w:r>
    </w:p>
    <w:p w14:paraId="04799A56" w14:textId="12DEB29C" w:rsidR="004E4F12" w:rsidRDefault="004E4F12" w:rsidP="004E4F12">
      <w:r>
        <w:t>Soils with a higher proportion of small aggregates (e.g. crumbs less than 2mm across) tend to have higher PMN (</w:t>
      </w:r>
      <w:proofErr w:type="spellStart"/>
      <w:r>
        <w:t>Bimüller</w:t>
      </w:r>
      <w:proofErr w:type="spellEnd"/>
      <w:r>
        <w:t xml:space="preserve"> et al., 2016) likely because the organic matter is less physically protected from degradation by soil microbes.</w:t>
      </w:r>
    </w:p>
    <w:p w14:paraId="5819CF2B" w14:textId="049CA1EE" w:rsidR="004E4F12" w:rsidRDefault="004E4F12" w:rsidP="004E4F12">
      <w:pPr>
        <w:pStyle w:val="Heading5"/>
      </w:pPr>
      <w:r w:rsidRPr="002F3555">
        <w:t>Un-manageable controls</w:t>
      </w:r>
    </w:p>
    <w:p w14:paraId="5CFD522E" w14:textId="614ACA25" w:rsidR="004E4F12" w:rsidRDefault="004E4F12" w:rsidP="004E4F12">
      <w:pPr>
        <w:pStyle w:val="Heading6"/>
      </w:pPr>
      <w:r>
        <w:t>Climate</w:t>
      </w:r>
    </w:p>
    <w:p w14:paraId="1FE71923" w14:textId="70BD4BF9" w:rsidR="004E4F12" w:rsidRDefault="004E4F12" w:rsidP="004E4F12">
      <w:r w:rsidRPr="002F3555">
        <w:t>Humid areas tend to have higher rates of PMN than dry areas</w:t>
      </w:r>
      <w:r>
        <w:t>.</w:t>
      </w:r>
    </w:p>
    <w:p w14:paraId="5AF40E50" w14:textId="6C035203" w:rsidR="004E4F12" w:rsidRDefault="004E4F12" w:rsidP="004E4F12">
      <w:pPr>
        <w:pStyle w:val="Heading6"/>
      </w:pPr>
      <w:r>
        <w:t>Soil texture</w:t>
      </w:r>
    </w:p>
    <w:p w14:paraId="62DFB19E" w14:textId="53561758" w:rsidR="004E4F12" w:rsidRDefault="004E4F12" w:rsidP="004E4F12">
      <w:r>
        <w:t>Very heavy soils with lots of clay may protect organic nitrogen from conversion to plant available forms by microbes.</w:t>
      </w:r>
    </w:p>
    <w:p w14:paraId="0CE5B16A" w14:textId="5F84F4D3" w:rsidR="00B918E5" w:rsidRDefault="004E4F12" w:rsidP="00B918E5">
      <w:r>
        <w:t>Lighter soils will have smaller microbial communities although their ability to carry out PMN is often higher making it difficult to predict this complex relationship (</w:t>
      </w:r>
      <w:proofErr w:type="spellStart"/>
      <w:r>
        <w:t>Hassink</w:t>
      </w:r>
      <w:proofErr w:type="spellEnd"/>
      <w:r>
        <w:t>, 1997).</w:t>
      </w:r>
    </w:p>
    <w:p w14:paraId="62D3D5F2" w14:textId="77777777" w:rsidR="00B918E5" w:rsidRDefault="00B918E5" w:rsidP="004A5456">
      <w:pPr>
        <w:pStyle w:val="Heading4"/>
      </w:pPr>
      <w:r>
        <w:t>How is PMN measured?</w:t>
      </w:r>
    </w:p>
    <w:p w14:paraId="1A92551F" w14:textId="0D98938D" w:rsidR="004A5456" w:rsidRDefault="00B918E5" w:rsidP="004A5456">
      <w:r>
        <w:t>Potentially mineralizable nitrogen is measured in a laboratory using a soil sample such as might be collected for standard soil nutrient or pH testing. Once the sample is collected, it should be kept cold (4°C if possible) and delivered to the laboratory as soon as possible. On arrival at the laboratory two portions of the sample will be weighed out (Figure 1</w:t>
      </w:r>
      <w:r w:rsidR="00D418FD">
        <w:t>5</w:t>
      </w:r>
      <w:r>
        <w:t xml:space="preserve">) the first will be shaken with a mild salt solution to extract the ammonium and nitrate. The second portion of soil will be incubated for </w:t>
      </w:r>
      <w:r w:rsidR="004A5456">
        <w:t>seven days</w:t>
      </w:r>
      <w:r>
        <w:t xml:space="preserve"> in a tube filled with water to keep out any oxygen. This will allow the microbes in the soil to continue to degrade organic matter nitrogen into mineral nitrogen but prevent any further use of the resulting ammonium and nitrate. This means that the mineral nitrogen accumulates in the second sample, the difference in mineral nitrogen concentration between the second and first samples is the potentially mineralisable nitrogen. </w:t>
      </w:r>
    </w:p>
    <w:p w14:paraId="5B261D01" w14:textId="6A7B119B" w:rsidR="007D3945" w:rsidRDefault="007D3945" w:rsidP="007D3945">
      <w:pPr>
        <w:pStyle w:val="Caption"/>
        <w:keepNext/>
      </w:pPr>
      <w:r>
        <w:lastRenderedPageBreak/>
        <w:t xml:space="preserve">Figure </w:t>
      </w:r>
      <w:r>
        <w:fldChar w:fldCharType="begin"/>
      </w:r>
      <w:r>
        <w:instrText>SEQ Figure \* ARABIC</w:instrText>
      </w:r>
      <w:r>
        <w:fldChar w:fldCharType="separate"/>
      </w:r>
      <w:r>
        <w:rPr>
          <w:noProof/>
        </w:rPr>
        <w:t>15</w:t>
      </w:r>
      <w:r>
        <w:fldChar w:fldCharType="end"/>
      </w:r>
      <w:r>
        <w:t xml:space="preserve">. The potentially mineralisable nitrogen test involves measuring the mineral nitrogen concentration on </w:t>
      </w:r>
      <w:r w:rsidR="00C416F7">
        <w:t>two</w:t>
      </w:r>
      <w:r>
        <w:t xml:space="preserve"> portions of a single soil sample to understand how quickly the microbes in the soil can turn organic nitrogen into plant available mineral nitrogen.</w:t>
      </w:r>
    </w:p>
    <w:p w14:paraId="2EEDD7C2" w14:textId="4BCDF8E8" w:rsidR="00B918E5" w:rsidRDefault="00B918E5" w:rsidP="00B918E5">
      <w:r w:rsidRPr="002F3555">
        <w:rPr>
          <w:noProof/>
        </w:rPr>
        <w:drawing>
          <wp:inline distT="0" distB="0" distL="0" distR="0" wp14:anchorId="3C2E29FB" wp14:editId="1F6522C3">
            <wp:extent cx="2700000" cy="4376288"/>
            <wp:effectExtent l="0" t="0" r="5715" b="5715"/>
            <wp:docPr id="5" name="Content Placeholder 4">
              <a:extLst xmlns:a="http://schemas.openxmlformats.org/drawingml/2006/main">
                <a:ext uri="{FF2B5EF4-FFF2-40B4-BE49-F238E27FC236}">
                  <a16:creationId xmlns:a16="http://schemas.microsoft.com/office/drawing/2014/main" id="{29CAB4AD-9268-1B39-0D64-929759774149}"/>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29CAB4AD-9268-1B39-0D64-929759774149}"/>
                        </a:ext>
                        <a:ext uri="{C183D7F6-B498-43B3-948B-1728B52AA6E4}">
                          <adec:decorative xmlns:adec="http://schemas.microsoft.com/office/drawing/2017/decorative" val="1"/>
                        </a:ext>
                      </a:extLst>
                    </pic:cNvPr>
                    <pic:cNvPicPr>
                      <a:picLocks noGrp="1" noChangeAspect="1"/>
                    </pic:cNvPicPr>
                  </pic:nvPicPr>
                  <pic:blipFill>
                    <a:blip r:embed="rId53">
                      <a:extLst>
                        <a:ext uri="{28A0092B-C50C-407E-A947-70E740481C1C}">
                          <a14:useLocalDpi xmlns:a14="http://schemas.microsoft.com/office/drawing/2010/main" val="0"/>
                        </a:ext>
                      </a:extLst>
                    </a:blip>
                    <a:srcRect l="6813" r="50000"/>
                    <a:stretch>
                      <a:fillRect/>
                    </a:stretch>
                  </pic:blipFill>
                  <pic:spPr>
                    <a:xfrm>
                      <a:off x="0" y="0"/>
                      <a:ext cx="2700000" cy="4376288"/>
                    </a:xfrm>
                    <a:prstGeom prst="rect">
                      <a:avLst/>
                    </a:prstGeom>
                    <a:solidFill>
                      <a:prstClr val="white"/>
                    </a:solidFill>
                  </pic:spPr>
                </pic:pic>
              </a:graphicData>
            </a:graphic>
          </wp:inline>
        </w:drawing>
      </w:r>
    </w:p>
    <w:p w14:paraId="757B0750" w14:textId="77777777" w:rsidR="00B918E5" w:rsidRDefault="00B918E5" w:rsidP="004A5456">
      <w:r>
        <w:t xml:space="preserve">Timing matters when testing for potentially mineralisable nitrogen. Accounting for the potential supply of nitrogen from organic materials when deciding on fertiliser additions, testing in late winter for spring sowing is sensible. For autumn sowing, testing in late summer will give a good picture of the potential supply of nitrogen. It is important to remember that PMN represents the amount of nitrogen released from the organic matter in the soil under ideal laboratory conditions. In the field this will vary based on factors such as temperature and moisture. It is important to remember that any additional organic matter added to the soil after testing occurs (e.g. late terminated cover crops, FYM or slurry addition, or weeds incorporated into soil prior to sowing) will change the stock of organic material available for mineralisation and hence the amount of PMN. </w:t>
      </w:r>
    </w:p>
    <w:p w14:paraId="7243189E" w14:textId="77777777" w:rsidR="00B918E5" w:rsidRDefault="00B918E5" w:rsidP="004A5456">
      <w:pPr>
        <w:pStyle w:val="Heading4"/>
      </w:pPr>
      <w:r>
        <w:t>What do the results of my PMN test mean?</w:t>
      </w:r>
    </w:p>
    <w:p w14:paraId="131467ED" w14:textId="77777777" w:rsidR="00B918E5" w:rsidRDefault="00B918E5" w:rsidP="004A5456">
      <w:r>
        <w:t xml:space="preserve">Potentially mineralisable nitrogen reflects an aspect of biological soil health by measuring how well the microbial community in the soil works to carry out the conversion of nitrogen from the organic matter pool into the plant available pool in the soil. </w:t>
      </w:r>
    </w:p>
    <w:p w14:paraId="10E3B2C3" w14:textId="77777777" w:rsidR="00B918E5" w:rsidRDefault="00B918E5" w:rsidP="004A5456">
      <w:r>
        <w:t xml:space="preserve">The results of a PMN test will likely report milligrams of N per kilogram of soil (mg/kg), most testing labs will also give an interpretation of whether the concentration is high, moderate or low. The AHDB soil health score card has some guideline bands for the interpretation of PMN results as shown below. This may differ from results reported by the testing lab as some are beginning to </w:t>
      </w:r>
      <w:proofErr w:type="gramStart"/>
      <w:r>
        <w:t>take into account</w:t>
      </w:r>
      <w:proofErr w:type="gramEnd"/>
      <w:r>
        <w:t xml:space="preserve"> aspects of the soil discussed above – for example soil texture and organic matter content. This is </w:t>
      </w:r>
      <w:r>
        <w:lastRenderedPageBreak/>
        <w:t xml:space="preserve">advantageous as it should give a more accurate estimate of the real potential of the soil to carry out nitrogen mineralisation rather than measuring it against an unattainably high standard or being overly confident that PMN is fine when the values for a particular soil type should </w:t>
      </w:r>
      <w:proofErr w:type="gramStart"/>
      <w:r>
        <w:t>actually be</w:t>
      </w:r>
      <w:proofErr w:type="gramEnd"/>
      <w:r>
        <w:t xml:space="preserve"> classed as low.  </w:t>
      </w:r>
    </w:p>
    <w:p w14:paraId="4BDC5394" w14:textId="209C9429" w:rsidR="004A5456" w:rsidRDefault="004A5456" w:rsidP="004A5456">
      <w:pPr>
        <w:pStyle w:val="Caption"/>
        <w:keepNext/>
      </w:pPr>
      <w:r>
        <w:t xml:space="preserve">Table </w:t>
      </w:r>
      <w:r>
        <w:fldChar w:fldCharType="begin"/>
      </w:r>
      <w:r>
        <w:instrText>SEQ Table \* ARABIC</w:instrText>
      </w:r>
      <w:r>
        <w:fldChar w:fldCharType="separate"/>
      </w:r>
      <w:r w:rsidR="00C400DA">
        <w:rPr>
          <w:noProof/>
        </w:rPr>
        <w:t>21</w:t>
      </w:r>
      <w:r>
        <w:fldChar w:fldCharType="end"/>
      </w:r>
      <w:r>
        <w:t>. Benchmark table for PMN taken from the soil health scorecard with additional details on possible reasons for the results.</w:t>
      </w:r>
    </w:p>
    <w:tbl>
      <w:tblPr>
        <w:tblStyle w:val="TableGrid"/>
        <w:tblW w:w="0" w:type="auto"/>
        <w:tblLook w:val="04A0" w:firstRow="1" w:lastRow="0" w:firstColumn="1" w:lastColumn="0" w:noHBand="0" w:noVBand="1"/>
      </w:tblPr>
      <w:tblGrid>
        <w:gridCol w:w="1378"/>
        <w:gridCol w:w="990"/>
        <w:gridCol w:w="3052"/>
        <w:gridCol w:w="3640"/>
      </w:tblGrid>
      <w:tr w:rsidR="00B918E5" w14:paraId="3A067A1D" w14:textId="77777777" w:rsidTr="00197B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5DAC11AC" w14:textId="77777777" w:rsidR="00B918E5" w:rsidRDefault="00B918E5" w:rsidP="00197B9E">
            <w:pPr>
              <w:spacing w:before="144" w:after="144"/>
            </w:pPr>
            <w:r>
              <w:t>Traffic light</w:t>
            </w:r>
          </w:p>
        </w:tc>
        <w:tc>
          <w:tcPr>
            <w:tcW w:w="992" w:type="dxa"/>
          </w:tcPr>
          <w:p w14:paraId="2D2EEC45" w14:textId="19C3B1E2" w:rsidR="00B918E5" w:rsidRDefault="004A5456" w:rsidP="00197B9E">
            <w:pPr>
              <w:spacing w:before="144" w:after="144"/>
              <w:cnfStyle w:val="100000000000" w:firstRow="1" w:lastRow="0" w:firstColumn="0" w:lastColumn="0" w:oddVBand="0" w:evenVBand="0" w:oddHBand="0" w:evenHBand="0" w:firstRowFirstColumn="0" w:firstRowLastColumn="0" w:lastRowFirstColumn="0" w:lastRowLastColumn="0"/>
            </w:pPr>
            <w:r>
              <w:t>PMN (</w:t>
            </w:r>
            <w:r w:rsidR="00B918E5">
              <w:t>mg/kg</w:t>
            </w:r>
            <w:r>
              <w:t>)</w:t>
            </w:r>
          </w:p>
        </w:tc>
        <w:tc>
          <w:tcPr>
            <w:tcW w:w="3119" w:type="dxa"/>
          </w:tcPr>
          <w:p w14:paraId="7C2AE569" w14:textId="77777777" w:rsidR="00B918E5" w:rsidRDefault="00B918E5" w:rsidP="00197B9E">
            <w:pPr>
              <w:spacing w:before="144" w:after="144"/>
              <w:cnfStyle w:val="100000000000" w:firstRow="1" w:lastRow="0" w:firstColumn="0" w:lastColumn="0" w:oddVBand="0" w:evenVBand="0" w:oddHBand="0" w:evenHBand="0" w:firstRowFirstColumn="0" w:firstRowLastColumn="0" w:lastRowFirstColumn="0" w:lastRowLastColumn="0"/>
            </w:pPr>
            <w:r>
              <w:t>Interpretation</w:t>
            </w:r>
          </w:p>
        </w:tc>
        <w:tc>
          <w:tcPr>
            <w:tcW w:w="3747" w:type="dxa"/>
          </w:tcPr>
          <w:p w14:paraId="14AFDEE3" w14:textId="77777777" w:rsidR="00B918E5" w:rsidRDefault="00B918E5" w:rsidP="00197B9E">
            <w:pPr>
              <w:spacing w:before="144" w:after="144"/>
              <w:cnfStyle w:val="100000000000" w:firstRow="1" w:lastRow="0" w:firstColumn="0" w:lastColumn="0" w:oddVBand="0" w:evenVBand="0" w:oddHBand="0" w:evenHBand="0" w:firstRowFirstColumn="0" w:firstRowLastColumn="0" w:lastRowFirstColumn="0" w:lastRowLastColumn="0"/>
            </w:pPr>
            <w:r>
              <w:t>Possible reasons</w:t>
            </w:r>
          </w:p>
        </w:tc>
      </w:tr>
      <w:tr w:rsidR="00B918E5" w14:paraId="233E2DF1" w14:textId="77777777" w:rsidTr="00197B9E">
        <w:tc>
          <w:tcPr>
            <w:cnfStyle w:val="001000000000" w:firstRow="0" w:lastRow="0" w:firstColumn="1" w:lastColumn="0" w:oddVBand="0" w:evenVBand="0" w:oddHBand="0" w:evenHBand="0" w:firstRowFirstColumn="0" w:firstRowLastColumn="0" w:lastRowFirstColumn="0" w:lastRowLastColumn="0"/>
            <w:tcW w:w="1384" w:type="dxa"/>
            <w:shd w:val="clear" w:color="auto" w:fill="EE0000"/>
          </w:tcPr>
          <w:p w14:paraId="15F0192D" w14:textId="77777777" w:rsidR="00B918E5" w:rsidRDefault="00B918E5" w:rsidP="00197B9E">
            <w:pPr>
              <w:spacing w:before="144" w:after="144"/>
              <w:rPr>
                <w:b w:val="0"/>
                <w:color w:val="FFFFFF" w:themeColor="background1"/>
              </w:rPr>
            </w:pPr>
            <w:r w:rsidRPr="002F3555">
              <w:rPr>
                <w:color w:val="FFFFFF" w:themeColor="background1"/>
              </w:rPr>
              <w:t>Investigate</w:t>
            </w:r>
          </w:p>
          <w:p w14:paraId="25878799" w14:textId="55F3433D" w:rsidR="004A5456" w:rsidRPr="002F3555" w:rsidRDefault="004A5456" w:rsidP="00197B9E">
            <w:pPr>
              <w:spacing w:before="144" w:after="144"/>
              <w:rPr>
                <w:color w:val="FFFFFF" w:themeColor="background1"/>
              </w:rPr>
            </w:pPr>
            <w:r>
              <w:rPr>
                <w:color w:val="FFFFFF" w:themeColor="background1"/>
              </w:rPr>
              <w:t>(Red)</w:t>
            </w:r>
          </w:p>
        </w:tc>
        <w:tc>
          <w:tcPr>
            <w:tcW w:w="992" w:type="dxa"/>
          </w:tcPr>
          <w:p w14:paraId="5B69C2FC" w14:textId="77777777" w:rsidR="00B918E5" w:rsidRDefault="00B918E5" w:rsidP="004A5456">
            <w:pPr>
              <w:spacing w:before="144" w:after="144"/>
              <w:jc w:val="center"/>
              <w:cnfStyle w:val="000000000000" w:firstRow="0" w:lastRow="0" w:firstColumn="0" w:lastColumn="0" w:oddVBand="0" w:evenVBand="0" w:oddHBand="0" w:evenHBand="0" w:firstRowFirstColumn="0" w:firstRowLastColumn="0" w:lastRowFirstColumn="0" w:lastRowLastColumn="0"/>
            </w:pPr>
            <w:r>
              <w:t>&lt;27</w:t>
            </w:r>
          </w:p>
        </w:tc>
        <w:tc>
          <w:tcPr>
            <w:tcW w:w="3119" w:type="dxa"/>
          </w:tcPr>
          <w:p w14:paraId="036A258D" w14:textId="554CDAD7" w:rsidR="00B918E5" w:rsidRDefault="00B918E5" w:rsidP="004A5456">
            <w:pPr>
              <w:spacing w:before="144" w:after="144"/>
              <w:jc w:val="center"/>
              <w:cnfStyle w:val="000000000000" w:firstRow="0" w:lastRow="0" w:firstColumn="0" w:lastColumn="0" w:oddVBand="0" w:evenVBand="0" w:oddHBand="0" w:evenHBand="0" w:firstRowFirstColumn="0" w:firstRowLastColumn="0" w:lastRowFirstColumn="0" w:lastRowLastColumn="0"/>
            </w:pPr>
            <w:r>
              <w:t>Very low</w:t>
            </w:r>
          </w:p>
        </w:tc>
        <w:tc>
          <w:tcPr>
            <w:tcW w:w="3747" w:type="dxa"/>
          </w:tcPr>
          <w:p w14:paraId="1A2F4A32" w14:textId="77777777" w:rsidR="00B918E5" w:rsidRDefault="00B918E5" w:rsidP="00197B9E">
            <w:pPr>
              <w:spacing w:before="144" w:after="144"/>
              <w:cnfStyle w:val="000000000000" w:firstRow="0" w:lastRow="0" w:firstColumn="0" w:lastColumn="0" w:oddVBand="0" w:evenVBand="0" w:oddHBand="0" w:evenHBand="0" w:firstRowFirstColumn="0" w:firstRowLastColumn="0" w:lastRowFirstColumn="0" w:lastRowLastColumn="0"/>
            </w:pPr>
            <w:r>
              <w:t>Low organic matter, sandy texture, dry soil, poor soil structure, small soil microbial community</w:t>
            </w:r>
          </w:p>
        </w:tc>
      </w:tr>
      <w:tr w:rsidR="00B918E5" w14:paraId="55EE5024" w14:textId="77777777" w:rsidTr="00197B9E">
        <w:tc>
          <w:tcPr>
            <w:cnfStyle w:val="001000000000" w:firstRow="0" w:lastRow="0" w:firstColumn="1" w:lastColumn="0" w:oddVBand="0" w:evenVBand="0" w:oddHBand="0" w:evenHBand="0" w:firstRowFirstColumn="0" w:firstRowLastColumn="0" w:lastRowFirstColumn="0" w:lastRowLastColumn="0"/>
            <w:tcW w:w="1384" w:type="dxa"/>
            <w:shd w:val="clear" w:color="auto" w:fill="FFC000"/>
          </w:tcPr>
          <w:p w14:paraId="51FB570B" w14:textId="77777777" w:rsidR="00B918E5" w:rsidRDefault="00B918E5" w:rsidP="00197B9E">
            <w:pPr>
              <w:spacing w:before="144" w:after="144"/>
              <w:rPr>
                <w:b w:val="0"/>
                <w:color w:val="FFFFFF" w:themeColor="background1"/>
              </w:rPr>
            </w:pPr>
            <w:r w:rsidRPr="002F3555">
              <w:rPr>
                <w:color w:val="FFFFFF" w:themeColor="background1"/>
              </w:rPr>
              <w:t>Review</w:t>
            </w:r>
          </w:p>
          <w:p w14:paraId="23753EDC" w14:textId="6053BCCF" w:rsidR="004A5456" w:rsidRPr="002F3555" w:rsidRDefault="004A5456" w:rsidP="00197B9E">
            <w:pPr>
              <w:spacing w:before="144" w:after="144"/>
              <w:rPr>
                <w:color w:val="FFFFFF" w:themeColor="background1"/>
              </w:rPr>
            </w:pPr>
            <w:r>
              <w:rPr>
                <w:color w:val="FFFFFF" w:themeColor="background1"/>
              </w:rPr>
              <w:t>(Amber)</w:t>
            </w:r>
          </w:p>
        </w:tc>
        <w:tc>
          <w:tcPr>
            <w:tcW w:w="992" w:type="dxa"/>
          </w:tcPr>
          <w:p w14:paraId="63F93C43" w14:textId="77777777" w:rsidR="00B918E5" w:rsidRDefault="00B918E5" w:rsidP="004A5456">
            <w:pPr>
              <w:spacing w:before="144" w:after="144"/>
              <w:jc w:val="center"/>
              <w:cnfStyle w:val="000000000000" w:firstRow="0" w:lastRow="0" w:firstColumn="0" w:lastColumn="0" w:oddVBand="0" w:evenVBand="0" w:oddHBand="0" w:evenHBand="0" w:firstRowFirstColumn="0" w:firstRowLastColumn="0" w:lastRowFirstColumn="0" w:lastRowLastColumn="0"/>
            </w:pPr>
            <w:r>
              <w:t>28-40</w:t>
            </w:r>
          </w:p>
        </w:tc>
        <w:tc>
          <w:tcPr>
            <w:tcW w:w="3119" w:type="dxa"/>
          </w:tcPr>
          <w:p w14:paraId="6B89B4F9" w14:textId="59FEA402" w:rsidR="00B918E5" w:rsidRDefault="00B918E5" w:rsidP="004A5456">
            <w:pPr>
              <w:spacing w:before="144" w:after="144"/>
              <w:jc w:val="center"/>
              <w:cnfStyle w:val="000000000000" w:firstRow="0" w:lastRow="0" w:firstColumn="0" w:lastColumn="0" w:oddVBand="0" w:evenVBand="0" w:oddHBand="0" w:evenHBand="0" w:firstRowFirstColumn="0" w:firstRowLastColumn="0" w:lastRowFirstColumn="0" w:lastRowLastColumn="0"/>
            </w:pPr>
            <w:r>
              <w:t>Low (below average)</w:t>
            </w:r>
          </w:p>
        </w:tc>
        <w:tc>
          <w:tcPr>
            <w:tcW w:w="3747" w:type="dxa"/>
          </w:tcPr>
          <w:p w14:paraId="1CF09E1C" w14:textId="77777777" w:rsidR="00B918E5" w:rsidRDefault="00B918E5" w:rsidP="00197B9E">
            <w:pPr>
              <w:spacing w:before="144" w:after="144"/>
              <w:cnfStyle w:val="000000000000" w:firstRow="0" w:lastRow="0" w:firstColumn="0" w:lastColumn="0" w:oddVBand="0" w:evenVBand="0" w:oddHBand="0" w:evenHBand="0" w:firstRowFirstColumn="0" w:firstRowLastColumn="0" w:lastRowFirstColumn="0" w:lastRowLastColumn="0"/>
            </w:pPr>
            <w:r>
              <w:t>Low organic matter, sandy texture, dry soil, poor soil structure, small soil microbial community</w:t>
            </w:r>
          </w:p>
        </w:tc>
      </w:tr>
      <w:tr w:rsidR="00B918E5" w14:paraId="73519411" w14:textId="77777777" w:rsidTr="00197B9E">
        <w:tc>
          <w:tcPr>
            <w:cnfStyle w:val="001000000000" w:firstRow="0" w:lastRow="0" w:firstColumn="1" w:lastColumn="0" w:oddVBand="0" w:evenVBand="0" w:oddHBand="0" w:evenHBand="0" w:firstRowFirstColumn="0" w:firstRowLastColumn="0" w:lastRowFirstColumn="0" w:lastRowLastColumn="0"/>
            <w:tcW w:w="1384" w:type="dxa"/>
            <w:shd w:val="clear" w:color="auto" w:fill="00B050"/>
          </w:tcPr>
          <w:p w14:paraId="0483AA44" w14:textId="77777777" w:rsidR="00B918E5" w:rsidRDefault="00B918E5" w:rsidP="00197B9E">
            <w:pPr>
              <w:spacing w:before="144" w:after="144"/>
              <w:rPr>
                <w:b w:val="0"/>
                <w:color w:val="FFFFFF" w:themeColor="background1"/>
              </w:rPr>
            </w:pPr>
            <w:r w:rsidRPr="002F3555">
              <w:rPr>
                <w:color w:val="FFFFFF" w:themeColor="background1"/>
              </w:rPr>
              <w:t>Monitor</w:t>
            </w:r>
          </w:p>
          <w:p w14:paraId="32856938" w14:textId="2B9C8757" w:rsidR="004A5456" w:rsidRPr="002F3555" w:rsidRDefault="004A5456" w:rsidP="00197B9E">
            <w:pPr>
              <w:spacing w:before="144" w:after="144"/>
              <w:rPr>
                <w:color w:val="FFFFFF" w:themeColor="background1"/>
              </w:rPr>
            </w:pPr>
            <w:r>
              <w:rPr>
                <w:color w:val="FFFFFF" w:themeColor="background1"/>
              </w:rPr>
              <w:t>(Green)</w:t>
            </w:r>
          </w:p>
        </w:tc>
        <w:tc>
          <w:tcPr>
            <w:tcW w:w="992" w:type="dxa"/>
          </w:tcPr>
          <w:p w14:paraId="432251A6" w14:textId="77777777" w:rsidR="00B918E5" w:rsidRDefault="00B918E5" w:rsidP="004A5456">
            <w:pPr>
              <w:spacing w:before="144" w:after="144"/>
              <w:jc w:val="center"/>
              <w:cnfStyle w:val="000000000000" w:firstRow="0" w:lastRow="0" w:firstColumn="0" w:lastColumn="0" w:oddVBand="0" w:evenVBand="0" w:oddHBand="0" w:evenHBand="0" w:firstRowFirstColumn="0" w:firstRowLastColumn="0" w:lastRowFirstColumn="0" w:lastRowLastColumn="0"/>
            </w:pPr>
            <w:r>
              <w:t>&gt;40</w:t>
            </w:r>
          </w:p>
        </w:tc>
        <w:tc>
          <w:tcPr>
            <w:tcW w:w="3119" w:type="dxa"/>
          </w:tcPr>
          <w:p w14:paraId="16A33203" w14:textId="7D68C181" w:rsidR="00B918E5" w:rsidRDefault="004A5456" w:rsidP="004A5456">
            <w:pPr>
              <w:spacing w:before="144" w:after="144"/>
              <w:jc w:val="center"/>
              <w:cnfStyle w:val="000000000000" w:firstRow="0" w:lastRow="0" w:firstColumn="0" w:lastColumn="0" w:oddVBand="0" w:evenVBand="0" w:oddHBand="0" w:evenHBand="0" w:firstRowFirstColumn="0" w:firstRowLastColumn="0" w:lastRowFirstColumn="0" w:lastRowLastColumn="0"/>
            </w:pPr>
            <w:r>
              <w:t>T</w:t>
            </w:r>
            <w:r w:rsidR="00B918E5">
              <w:t>ypical</w:t>
            </w:r>
          </w:p>
        </w:tc>
        <w:tc>
          <w:tcPr>
            <w:tcW w:w="3747" w:type="dxa"/>
          </w:tcPr>
          <w:p w14:paraId="0DC2555D" w14:textId="77777777" w:rsidR="00B918E5" w:rsidRDefault="00B918E5" w:rsidP="00197B9E">
            <w:pPr>
              <w:spacing w:before="144" w:after="144"/>
              <w:cnfStyle w:val="000000000000" w:firstRow="0" w:lastRow="0" w:firstColumn="0" w:lastColumn="0" w:oddVBand="0" w:evenVBand="0" w:oddHBand="0" w:evenHBand="0" w:firstRowFirstColumn="0" w:firstRowLastColumn="0" w:lastRowFirstColumn="0" w:lastRowLastColumn="0"/>
            </w:pPr>
            <w:r>
              <w:t xml:space="preserve">Good level of organic matter, good soil structure, good water balance (well drained but not droughty), fine textured soil. </w:t>
            </w:r>
          </w:p>
        </w:tc>
      </w:tr>
    </w:tbl>
    <w:p w14:paraId="1BAA54BA" w14:textId="77777777" w:rsidR="00B918E5" w:rsidRDefault="00B918E5" w:rsidP="00B918E5"/>
    <w:p w14:paraId="253B2391" w14:textId="1F052D68" w:rsidR="00B918E5" w:rsidRDefault="004A5456" w:rsidP="004A5456">
      <w:pPr>
        <w:pStyle w:val="Heading4"/>
      </w:pPr>
      <w:r>
        <w:t>PMN factsheet references</w:t>
      </w:r>
    </w:p>
    <w:p w14:paraId="1BE9F45E" w14:textId="77777777" w:rsidR="004A5456" w:rsidRPr="00D67CAC" w:rsidRDefault="004A5456" w:rsidP="00B918E5">
      <w:pPr>
        <w:pStyle w:val="Bibliography"/>
      </w:pPr>
      <w:r w:rsidRPr="00D67CAC">
        <w:t>Li, Z., Tian, D., Wang, B., Wang, J., Wang, S., Chen, H.Y.H., Xu, X., Wang, C., He, N., Niu, S., 2019. Microbes drive global soil nitrogen mineralization and availability. Global Change Biology 25, 1078–1088. https://doi.org/10.1111/gcb.14557</w:t>
      </w:r>
    </w:p>
    <w:p w14:paraId="79507F9B" w14:textId="77777777" w:rsidR="004A5456" w:rsidRPr="00D67CAC" w:rsidRDefault="004A5456" w:rsidP="00B918E5">
      <w:pPr>
        <w:pStyle w:val="Bibliography"/>
      </w:pPr>
      <w:r w:rsidRPr="00D943D4">
        <w:rPr>
          <w:lang w:val="pt-BR"/>
        </w:rPr>
        <w:t xml:space="preserve">Mahal, N.K., Castellano, M.J., Miguez, F.E., 2018. </w:t>
      </w:r>
      <w:r w:rsidRPr="00D67CAC">
        <w:t>Conservation Agriculture Practices Increase Potentially Mineralizable Nitrogen: A Meta-Analysis. Soil Science Society of America Journal 82, 1270–1278. https://doi.org/10.2136/sssaj2017.07.0245</w:t>
      </w:r>
    </w:p>
    <w:p w14:paraId="203C45C3" w14:textId="77777777" w:rsidR="004A5456" w:rsidRDefault="004A5456" w:rsidP="00B918E5">
      <w:r w:rsidRPr="00D67CAC">
        <w:t xml:space="preserve">Rasmussen, P.E., Douglas, C.L., Collins, H.P., Albrecht, S.L., 1998. Long-term cropping system effects on mineralizable nitrogen in soil. Soil Biology and Biochemistry 30, 1829–1837. </w:t>
      </w:r>
      <w:hyperlink r:id="rId54" w:history="1">
        <w:r w:rsidRPr="002D593E">
          <w:rPr>
            <w:rStyle w:val="Hyperlink"/>
          </w:rPr>
          <w:t>https://doi.org/10.1016/S0038-0717(98)00057-1</w:t>
        </w:r>
      </w:hyperlink>
    </w:p>
    <w:p w14:paraId="434D0568" w14:textId="058F0E02" w:rsidR="004A5456" w:rsidRDefault="004A5456" w:rsidP="00B918E5">
      <w:pPr>
        <w:pStyle w:val="Bibliography"/>
      </w:pPr>
      <w:r w:rsidRPr="00D67CAC">
        <w:t xml:space="preserve">Spargo, J.T., Cavigelli, M.A., Mirsky, S.B., Maul, J.E., Meisinger, J.J., 2011. Mineralizable soil nitrogen and labile soil organic matter in diverse long-term cropping systems. </w:t>
      </w:r>
      <w:proofErr w:type="spellStart"/>
      <w:r w:rsidRPr="00D67CAC">
        <w:t>Nutr</w:t>
      </w:r>
      <w:proofErr w:type="spellEnd"/>
      <w:r w:rsidRPr="00D67CAC">
        <w:t xml:space="preserve"> </w:t>
      </w:r>
      <w:proofErr w:type="spellStart"/>
      <w:r w:rsidRPr="00D67CAC">
        <w:t>Cycl</w:t>
      </w:r>
      <w:proofErr w:type="spellEnd"/>
      <w:r w:rsidRPr="00D67CAC">
        <w:t xml:space="preserve"> </w:t>
      </w:r>
      <w:proofErr w:type="spellStart"/>
      <w:r w:rsidRPr="00D67CAC">
        <w:t>Agroecosyst</w:t>
      </w:r>
      <w:proofErr w:type="spellEnd"/>
      <w:r w:rsidRPr="00D67CAC">
        <w:t xml:space="preserve"> 90, 253–266. </w:t>
      </w:r>
      <w:hyperlink r:id="rId55" w:history="1">
        <w:r w:rsidR="003B4920" w:rsidRPr="008B0302">
          <w:rPr>
            <w:rStyle w:val="Hyperlink"/>
          </w:rPr>
          <w:t>https://doi.org/10.1007/s10705-011-9426-4</w:t>
        </w:r>
      </w:hyperlink>
    </w:p>
    <w:p w14:paraId="6B06903D" w14:textId="77777777" w:rsidR="003B4920" w:rsidRPr="003B4920" w:rsidRDefault="003B4920" w:rsidP="003B4920"/>
    <w:p w14:paraId="36AACD20" w14:textId="77777777" w:rsidR="00AE40BD" w:rsidRDefault="00AE40BD">
      <w:pPr>
        <w:spacing w:line="278" w:lineRule="auto"/>
        <w:rPr>
          <w:rFonts w:ascii="Ubuntu" w:eastAsiaTheme="majorEastAsia" w:hAnsi="Ubuntu" w:cs="Arial (Headings CS)"/>
          <w:iCs/>
          <w:color w:val="0082CA" w:themeColor="text1"/>
          <w:sz w:val="24"/>
        </w:rPr>
      </w:pPr>
      <w:r>
        <w:br w:type="page"/>
      </w:r>
    </w:p>
    <w:p w14:paraId="647832A3" w14:textId="14CB3503" w:rsidR="003B4920" w:rsidRDefault="00895057" w:rsidP="003B4920">
      <w:pPr>
        <w:pStyle w:val="Heading4"/>
      </w:pPr>
      <w:r>
        <w:lastRenderedPageBreak/>
        <w:t>Explainer for a</w:t>
      </w:r>
      <w:r w:rsidR="003B4920" w:rsidRPr="003B4920">
        <w:t xml:space="preserve">ctive </w:t>
      </w:r>
      <w:r>
        <w:t>c</w:t>
      </w:r>
      <w:r w:rsidR="003B4920" w:rsidRPr="003B4920">
        <w:t>arbon (POXC)</w:t>
      </w:r>
    </w:p>
    <w:p w14:paraId="5C3A848F" w14:textId="2E1E1C84" w:rsidR="003B4920" w:rsidRDefault="003B4920" w:rsidP="003B4920">
      <w:pPr>
        <w:pStyle w:val="ListParagraph"/>
        <w:numPr>
          <w:ilvl w:val="0"/>
          <w:numId w:val="52"/>
        </w:numPr>
      </w:pPr>
      <w:r>
        <w:t>Different pools of organic matter decompose at different rates</w:t>
      </w:r>
    </w:p>
    <w:p w14:paraId="4BFC5C4F" w14:textId="7C98AE8F" w:rsidR="003B4920" w:rsidRDefault="003B4920" w:rsidP="003B4920">
      <w:pPr>
        <w:pStyle w:val="ListParagraph"/>
        <w:numPr>
          <w:ilvl w:val="0"/>
          <w:numId w:val="52"/>
        </w:numPr>
      </w:pPr>
      <w:r>
        <w:t>Permanganate oxidisable carbon (POXC) measures the active C pool in the soil</w:t>
      </w:r>
    </w:p>
    <w:p w14:paraId="2B6E0DEE" w14:textId="086D9060" w:rsidR="003B4920" w:rsidRDefault="003B4920" w:rsidP="003B4920">
      <w:pPr>
        <w:pStyle w:val="ListParagraph"/>
        <w:numPr>
          <w:ilvl w:val="0"/>
          <w:numId w:val="52"/>
        </w:numPr>
      </w:pPr>
      <w:r>
        <w:t>POXC is sensitive to management and may provide a more rapid indication of the effects of management changes on soil health, compared with soil organic matter measured by loss on ignition (LOI)</w:t>
      </w:r>
    </w:p>
    <w:p w14:paraId="6782D676" w14:textId="77777777" w:rsidR="003B4920" w:rsidRDefault="003B4920" w:rsidP="003B4920">
      <w:pPr>
        <w:pStyle w:val="ListParagraph"/>
        <w:numPr>
          <w:ilvl w:val="0"/>
          <w:numId w:val="52"/>
        </w:numPr>
      </w:pPr>
      <w:r>
        <w:t>Assessed by a rapid and effective method in the laboratory</w:t>
      </w:r>
    </w:p>
    <w:p w14:paraId="6DC71E20" w14:textId="7A7501CC" w:rsidR="003B4920" w:rsidRDefault="003B4920" w:rsidP="003B4920">
      <w:r w:rsidRPr="003B4920">
        <w:t>With so much interest in soil health these days, many farmers are looking for properties they can measure to tell them how their soil management is affecting their soil’s health. The current soil health indicators in AHDB’s soil health scorecard are recommended for testing every 3 to 5 years, but farmers are looking for indicators that will tell them sooner how a recent change in management has affected their soil health. These Early Indicators to Monitor Changes in Soil Health need to be sensitive to management, but not so sensitive that they will be affected by recent weather or land operations. This factsheet summarises how active carbon measured using the POXC test can be used as an early indicator to monitor a change in soil health.</w:t>
      </w:r>
    </w:p>
    <w:p w14:paraId="716D4225" w14:textId="5D1746D1" w:rsidR="003B4920" w:rsidRDefault="003B4920" w:rsidP="003B4920">
      <w:pPr>
        <w:pStyle w:val="Heading5"/>
      </w:pPr>
      <w:r>
        <w:t xml:space="preserve">What is </w:t>
      </w:r>
      <w:r w:rsidR="009E18F4">
        <w:t>a</w:t>
      </w:r>
      <w:r>
        <w:t xml:space="preserve">ctive </w:t>
      </w:r>
      <w:r w:rsidR="009E18F4">
        <w:t>c</w:t>
      </w:r>
      <w:r>
        <w:t>arbon?</w:t>
      </w:r>
    </w:p>
    <w:p w14:paraId="078F6714" w14:textId="77777777" w:rsidR="003B4920" w:rsidRDefault="003B4920" w:rsidP="003B4920">
      <w:r>
        <w:t xml:space="preserve">In recent years there has been a great deal of interest in soil organic matter (SOM) as an overall indicator of soil health and soil organic carbon (SOC) as an important carbon (C) store to help mitigate climate change. Soil carbon (or organic matter) underpins the soil’s ability to provide ecosystem services and sustain crop production, but it does not respond rapidly to changes in soil management. </w:t>
      </w:r>
    </w:p>
    <w:p w14:paraId="23721175" w14:textId="77777777" w:rsidR="003B4920" w:rsidRDefault="003B4920" w:rsidP="003B4920">
      <w:r>
        <w:t>Conceptually, soil organic matter can be divided into different “pools” that reflect how easily they decay, ranging from readily decomposable, labile or active materials, through to more stable, humified pools. Recent research has shown that the more readily decomposable pool of carbon, sometimes called “active C”, is more sensitive to recent changes in soil management and can provide a useful early indication of changes in soil health (</w:t>
      </w:r>
      <w:proofErr w:type="spellStart"/>
      <w:r>
        <w:t>Chéron-Bessou</w:t>
      </w:r>
      <w:proofErr w:type="spellEnd"/>
      <w:r>
        <w:t xml:space="preserve"> et al., 2025).</w:t>
      </w:r>
    </w:p>
    <w:p w14:paraId="6A1468E7" w14:textId="53B69342" w:rsidR="003B4920" w:rsidRDefault="003B4920" w:rsidP="003B4920">
      <w:r>
        <w:t xml:space="preserve">The components of the active carbon pool are thought to include particulate organic matter (POM), microbial biomass C, and carbohydrates that are readily metabolizable by microorganisms (Woodings &amp; </w:t>
      </w:r>
      <w:proofErr w:type="spellStart"/>
      <w:r>
        <w:t>Margenot</w:t>
      </w:r>
      <w:proofErr w:type="spellEnd"/>
      <w:r>
        <w:t>, 2023). Since these components are rapidly processed by microorgani</w:t>
      </w:r>
      <w:r w:rsidR="00644CAA">
        <w:t>s</w:t>
      </w:r>
      <w:r>
        <w:t>ms, they can help to build soil aggregate stability more than the other pools, thus improving water infiltration and soil porosity, reducing erosion risk and compaction (Simonetti et al., 2017).</w:t>
      </w:r>
    </w:p>
    <w:p w14:paraId="2C0956FC" w14:textId="01DCFF6A" w:rsidR="003B4920" w:rsidRDefault="003B4920" w:rsidP="003B4920">
      <w:pPr>
        <w:pStyle w:val="Heading5"/>
      </w:pPr>
      <w:r>
        <w:t xml:space="preserve">How is </w:t>
      </w:r>
      <w:r w:rsidR="0025299C">
        <w:t>a</w:t>
      </w:r>
      <w:r>
        <w:t xml:space="preserve">ctive </w:t>
      </w:r>
      <w:r w:rsidR="0025299C">
        <w:t>c</w:t>
      </w:r>
      <w:r>
        <w:t xml:space="preserve">arbon </w:t>
      </w:r>
      <w:r w:rsidR="0025299C">
        <w:t>m</w:t>
      </w:r>
      <w:r>
        <w:t>easured?</w:t>
      </w:r>
    </w:p>
    <w:p w14:paraId="7D5ADF0E" w14:textId="77777777" w:rsidR="003B4920" w:rsidRDefault="003B4920" w:rsidP="003B4920">
      <w:r>
        <w:t>Various laboratory methods have been developed to measure the active carbon pool. The permanganate oxidizable C (POXC) test was developed in 2003 as a rapid and effective method of assessing the biologically available component of SOM, reported as mg C kg</w:t>
      </w:r>
      <w:r w:rsidRPr="007C1AC1">
        <w:rPr>
          <w:vertAlign w:val="superscript"/>
        </w:rPr>
        <w:t>-1</w:t>
      </w:r>
      <w:r>
        <w:t xml:space="preserve"> soil. It is offered by commercial laboratories in the UK as part of soil carbon testing packages. </w:t>
      </w:r>
    </w:p>
    <w:p w14:paraId="222C104D" w14:textId="77777777" w:rsidR="003B4920" w:rsidRDefault="003B4920" w:rsidP="003B4920">
      <w:r>
        <w:t>Topsoil samples should be collected in a similar way to routine soil nutrient testing, to represent the whole field. For use of POXC as an early indicator to monitor changes in soil health, sampling should be done at the same time each year (autumn or winter is preferable).</w:t>
      </w:r>
    </w:p>
    <w:p w14:paraId="0F7A2953" w14:textId="77777777" w:rsidR="003B4920" w:rsidRDefault="003B4920" w:rsidP="003B4920">
      <w:r>
        <w:t xml:space="preserve">In the laboratory the dried sample of topsoil is added to a solution of potassium permanganate (a purple liquid) and as the active organic matter in the sample is oxidised (reacts with the permanganate) the solution becomes less purple. The colours of the solutions are measured </w:t>
      </w:r>
      <w:r>
        <w:lastRenderedPageBreak/>
        <w:t>accurately using a spectrophotometer and the differences provide an indication of the amount of active C (POXC) in the soil (mg C kg−1 soil).</w:t>
      </w:r>
    </w:p>
    <w:p w14:paraId="5C901657" w14:textId="77777777" w:rsidR="003B4920" w:rsidRDefault="003B4920" w:rsidP="003B4920">
      <w:r>
        <w:t>The C compounds that are readily reactive such as simple carbohydrates and microbial metabolites are measured with this method. However, stable soil C components such as humus or charcoal-like materials (linked to clay particles), remain largely unaffected.</w:t>
      </w:r>
    </w:p>
    <w:p w14:paraId="1EB5E27F" w14:textId="77777777" w:rsidR="003B4920" w:rsidRDefault="003B4920" w:rsidP="003B4920">
      <w:r>
        <w:t>The larger the value, the more active carbon content. A value of over 800 mg C kg</w:t>
      </w:r>
      <w:r w:rsidRPr="00214F72">
        <w:rPr>
          <w:vertAlign w:val="superscript"/>
        </w:rPr>
        <w:t>-1</w:t>
      </w:r>
      <w:r>
        <w:t xml:space="preserve"> in the soil is considered a healthy soil for active C and microbial activity, whereas less than 200 mg C kg</w:t>
      </w:r>
      <w:r w:rsidRPr="00214F72">
        <w:rPr>
          <w:vertAlign w:val="superscript"/>
        </w:rPr>
        <w:t>-1</w:t>
      </w:r>
      <w:r>
        <w:t xml:space="preserve"> is seen as poor (University of Missouri, 2025; Lucas &amp; Weil, 2012). </w:t>
      </w:r>
    </w:p>
    <w:p w14:paraId="42BEE247" w14:textId="77777777" w:rsidR="003B4920" w:rsidRDefault="003B4920" w:rsidP="003B4920">
      <w:r>
        <w:t xml:space="preserve">The cost of analysis as part of a comprehensive carbon check is currently £50-70/sample; individuals should inquire directly with laboratories for pricing of POXC as a standalone test. </w:t>
      </w:r>
    </w:p>
    <w:p w14:paraId="2FFB83DA" w14:textId="77777777" w:rsidR="003B4920" w:rsidRDefault="003B4920" w:rsidP="003B4920">
      <w:pPr>
        <w:pStyle w:val="Heading5"/>
      </w:pPr>
      <w:r>
        <w:t>How effective is Active Carbon as an early indicator to monitor changes in soil health?</w:t>
      </w:r>
    </w:p>
    <w:p w14:paraId="5EFE15AA" w14:textId="77777777" w:rsidR="003B4920" w:rsidRDefault="003B4920" w:rsidP="003B4920">
      <w:proofErr w:type="gramStart"/>
      <w:r>
        <w:t>A number of</w:t>
      </w:r>
      <w:proofErr w:type="gramEnd"/>
      <w:r>
        <w:t xml:space="preserve"> indicators have been recently reviewed and scored for strength of the evidence linking them to ecosystem services and as early indicators of changes in soil health. Active carbon was identified as a potential early indicator to monitor changes in soil health. It should theoretically be sensitive to recent changes in management and was seen as relatively well linked to ecosystem services. It may provide valuable additional information on the trajectory of changes in soil C, which are important for climate mitigation services. </w:t>
      </w:r>
    </w:p>
    <w:p w14:paraId="549201EF" w14:textId="77777777" w:rsidR="003B4920" w:rsidRDefault="003B4920" w:rsidP="003B4920">
      <w:r>
        <w:t xml:space="preserve">However, POXC is the only measure of active carbon currently available from UK commercial laboratories and there are still no recognised thresholds for interpreting the results of POXC analyses. In addition, POXC is relatively expensive which may limit its applicability as a measure to use for frequent monitoring. Additionally, soil texture can have an influence on the active C. Sandier soils are generally drier, as they have greater porosity, leading to increased water infiltration, </w:t>
      </w:r>
      <w:proofErr w:type="gramStart"/>
      <w:r>
        <w:t>as a result of</w:t>
      </w:r>
      <w:proofErr w:type="gramEnd"/>
      <w:r>
        <w:t xml:space="preserve"> the greater gaps between the soil particles. This will ensure more rapid SOM decomposition including of the active C than a less porous, wetter clay soil, which would allow greater nutrient availability and potentially increased yield (Bot &amp; Benites, 2005). It may be necessary to develop interpretation frameworks that include reference to soil texture to help to understand the outcomes of POXC testing. There are various datasets available globally that could be used to further build our understanding of how to interpret results, suggesting there is potential to develop POXC as an additional early indicator to monitor changes in soil health. </w:t>
      </w:r>
    </w:p>
    <w:p w14:paraId="00610C3D" w14:textId="55EBFA37" w:rsidR="003B4920" w:rsidRDefault="00DA3E85" w:rsidP="003B4920">
      <w:pPr>
        <w:pStyle w:val="Heading5"/>
      </w:pPr>
      <w:r>
        <w:t>R</w:t>
      </w:r>
      <w:r w:rsidR="003B4920">
        <w:t>ecommendation</w:t>
      </w:r>
    </w:p>
    <w:p w14:paraId="261F2E8B" w14:textId="77777777" w:rsidR="003B4920" w:rsidRDefault="003B4920" w:rsidP="003B4920">
      <w:r>
        <w:t xml:space="preserve">Active carbon and POXC specifically can potentially provide additional information on the status of soil organic carbon pools in your soil. An increase in POXC could provide an indication that you are building up the pools of available carbon in your soil that will help to promote healthy soil biology, improve nutrient cycling and build good soil structure. Changes in POXC may be detectable before you can detect changes in soil organic carbon (or organic matter) following a change in soil management. For these reasons it may be interesting to monitor POXC on areas of your farm where you have made a recent change in management (e.g. introduced reduced tillage intensity, or integrated ley phases into arable rotations). </w:t>
      </w:r>
    </w:p>
    <w:p w14:paraId="5F5E0394" w14:textId="15494EAF" w:rsidR="003B4920" w:rsidRDefault="003B4920" w:rsidP="003B4920">
      <w:r>
        <w:t>Due to the relatively high cost of POXC testing and the uncertainty about interpretation of results, we do not recommend routine POXC testing across your whole farm. Nonetheless, we do encourage targeted POXC testing to help build your understanding of how your soil management is affecting pools of organic matter that are known to positively affect soil health.</w:t>
      </w:r>
    </w:p>
    <w:p w14:paraId="43C7CD38" w14:textId="4FCC3711" w:rsidR="003B4920" w:rsidRDefault="003B4920" w:rsidP="003B4920">
      <w:pPr>
        <w:pStyle w:val="Heading5"/>
      </w:pPr>
      <w:r>
        <w:lastRenderedPageBreak/>
        <w:t>Active carbon factsheet references</w:t>
      </w:r>
    </w:p>
    <w:p w14:paraId="67298506" w14:textId="77777777" w:rsidR="003B4920" w:rsidRDefault="003B4920" w:rsidP="003B4920">
      <w:r>
        <w:t xml:space="preserve">Bot, A and Benites, J (2005). The importance of soil organic matter: Key to drought-resistant soil and sustained food and production. FAO Soils Bulletin, 80. FOOD AND AGRICULTURE ORGANIZATION OF THE UNITED NATIONS, Rome, 2005 (https://www.fao.org/4/a0100e/a0100e.pdf) </w:t>
      </w:r>
    </w:p>
    <w:p w14:paraId="3EE125ED" w14:textId="77777777" w:rsidR="003B4920" w:rsidRDefault="003B4920" w:rsidP="003B4920">
      <w:r>
        <w:t xml:space="preserve">Cong, W-F &amp; Eriksen, J (2018). Forbs differentially affect soil microbial community composition and functions in unfertilized ryegrass-red clover leys. Soil Biology and Biochemistry, 121, 87-94. (https://doi.org/10.1016/j.soilbio.2018.03.008) </w:t>
      </w:r>
    </w:p>
    <w:p w14:paraId="5E78BA68" w14:textId="77777777" w:rsidR="003B4920" w:rsidRDefault="003B4920" w:rsidP="003B4920">
      <w:r>
        <w:t xml:space="preserve">Lucas ST and Weil, RR (2012). Can a Labile Carbon Test be Used to Predict Crop Responses to Improve Soil Organic Matter Management? Agronomy Journal, 104, 1160-1170. (doi:10.2134/agronj2011.0415) </w:t>
      </w:r>
    </w:p>
    <w:p w14:paraId="5894024B" w14:textId="0D3C4FDE" w:rsidR="003B4920" w:rsidRDefault="003B4920" w:rsidP="003B4920">
      <w:r>
        <w:t>University of Missouri, 2025. Permanganate Oxidizable Carbon (POXC): A Sensitive Indicator of Reactive Soil Carbon, University of Missouri Factsheet, USA. (https://extension.missouri.edu/publications/g9073)</w:t>
      </w:r>
    </w:p>
    <w:p w14:paraId="4128E145" w14:textId="69F74197" w:rsidR="003B4920" w:rsidRDefault="003B4920" w:rsidP="003B4920">
      <w:r>
        <w:t xml:space="preserve">White, KE, Brennan, EB, </w:t>
      </w:r>
      <w:proofErr w:type="spellStart"/>
      <w:r>
        <w:t>Cavigelli</w:t>
      </w:r>
      <w:proofErr w:type="spellEnd"/>
      <w:r>
        <w:t xml:space="preserve">, M-A, Smith, RF (2020). Winter cover crops increase readily de-composable soil carbon, but compost drives total soil carbon during eight years of intensive, organic vegetable production in California PLOS ONE, </w:t>
      </w:r>
      <w:proofErr w:type="gramStart"/>
      <w:r>
        <w:t>15,e</w:t>
      </w:r>
      <w:proofErr w:type="gramEnd"/>
      <w:r>
        <w:t>0228677 (https://doi.org/10.1371/journal.pone.0228677)</w:t>
      </w:r>
    </w:p>
    <w:p w14:paraId="5856EEBA" w14:textId="77777777" w:rsidR="003B4920" w:rsidRDefault="003B4920" w:rsidP="003B4920">
      <w:r>
        <w:t xml:space="preserve">Woodings, FS and </w:t>
      </w:r>
      <w:proofErr w:type="spellStart"/>
      <w:r>
        <w:t>Margenot</w:t>
      </w:r>
      <w:proofErr w:type="spellEnd"/>
      <w:r>
        <w:t xml:space="preserve">, A J (2023) Revisiting the </w:t>
      </w:r>
      <w:proofErr w:type="spellStart"/>
      <w:r>
        <w:t>permanaganate</w:t>
      </w:r>
      <w:proofErr w:type="spellEnd"/>
      <w:r>
        <w:t xml:space="preserve"> oxidizable carbon (POXC) assay assumptions: POXC is lignin sensitive. Agricultural &amp; Environmental Letters. 8, e20108.</w:t>
      </w:r>
    </w:p>
    <w:p w14:paraId="52277183" w14:textId="62FAE2B3" w:rsidR="003B4920" w:rsidRDefault="003B4920" w:rsidP="003B4920">
      <w:pPr>
        <w:pStyle w:val="Heading5"/>
      </w:pPr>
      <w:r>
        <w:t xml:space="preserve">Further </w:t>
      </w:r>
      <w:r w:rsidR="0025299C">
        <w:t>r</w:t>
      </w:r>
      <w:r>
        <w:t>eading</w:t>
      </w:r>
    </w:p>
    <w:p w14:paraId="5C7CDE76" w14:textId="77777777" w:rsidR="003B4920" w:rsidRDefault="003B4920" w:rsidP="003B4920">
      <w:r>
        <w:t xml:space="preserve">Science Note: Soil Carbon – British Society of Soil Science (https://soils.org.uk/wp-content/uploads/2022/05/BSSS_Science-Note_Soil-Carbon_Final_May22_75YRS_DIGITAL.pdf) </w:t>
      </w:r>
    </w:p>
    <w:p w14:paraId="54BF217D" w14:textId="77777777" w:rsidR="00DA3E85" w:rsidRDefault="00DA3E85">
      <w:pPr>
        <w:spacing w:line="278" w:lineRule="auto"/>
        <w:rPr>
          <w:rFonts w:ascii="Ubuntu" w:eastAsiaTheme="majorEastAsia" w:hAnsi="Ubuntu" w:cs="Arial (Headings CS)"/>
          <w:iCs/>
          <w:color w:val="0082CA" w:themeColor="text1"/>
          <w:sz w:val="24"/>
        </w:rPr>
      </w:pPr>
      <w:r>
        <w:br w:type="page"/>
      </w:r>
    </w:p>
    <w:p w14:paraId="12EF2801" w14:textId="1CB7DDA7" w:rsidR="00E832D3" w:rsidRDefault="00895057" w:rsidP="00E832D3">
      <w:pPr>
        <w:pStyle w:val="Heading4"/>
      </w:pPr>
      <w:r>
        <w:lastRenderedPageBreak/>
        <w:t>Explainer for a</w:t>
      </w:r>
      <w:r w:rsidR="00E832D3" w:rsidRPr="004C1213">
        <w:t xml:space="preserve">ggregate </w:t>
      </w:r>
      <w:r>
        <w:t>s</w:t>
      </w:r>
      <w:r w:rsidR="00E832D3" w:rsidRPr="004C1213">
        <w:t>tability</w:t>
      </w:r>
      <w:r w:rsidR="00E832D3" w:rsidRPr="003B4920">
        <w:t xml:space="preserve"> </w:t>
      </w:r>
    </w:p>
    <w:p w14:paraId="63258317" w14:textId="604953D7" w:rsidR="00E832D3" w:rsidRDefault="00E832D3" w:rsidP="00E832D3">
      <w:pPr>
        <w:pStyle w:val="ListParagraph"/>
        <w:numPr>
          <w:ilvl w:val="0"/>
          <w:numId w:val="54"/>
        </w:numPr>
      </w:pPr>
      <w:r>
        <w:t>Tests the strength of the building blocks of the soil</w:t>
      </w:r>
    </w:p>
    <w:p w14:paraId="3122EAC3" w14:textId="2F4FC809" w:rsidR="00E832D3" w:rsidRDefault="00E832D3" w:rsidP="00E832D3">
      <w:pPr>
        <w:pStyle w:val="ListParagraph"/>
        <w:numPr>
          <w:ilvl w:val="0"/>
          <w:numId w:val="54"/>
        </w:numPr>
      </w:pPr>
      <w:r>
        <w:t>Links to crop yield, resistance to soil erosion and compaction, and water availability and movement</w:t>
      </w:r>
    </w:p>
    <w:p w14:paraId="239519C7" w14:textId="5D0A5CFE" w:rsidR="00E832D3" w:rsidRDefault="00E832D3" w:rsidP="00E832D3">
      <w:pPr>
        <w:pStyle w:val="ListParagraph"/>
        <w:numPr>
          <w:ilvl w:val="0"/>
          <w:numId w:val="54"/>
        </w:numPr>
      </w:pPr>
      <w:r>
        <w:t>Outcome of active soil biology</w:t>
      </w:r>
    </w:p>
    <w:p w14:paraId="2A0AA017" w14:textId="0E577E4A" w:rsidR="00E832D3" w:rsidRDefault="00E832D3" w:rsidP="00E832D3">
      <w:pPr>
        <w:pStyle w:val="ListParagraph"/>
        <w:numPr>
          <w:ilvl w:val="0"/>
          <w:numId w:val="54"/>
        </w:numPr>
      </w:pPr>
      <w:r>
        <w:t>Indicates changes in soil health more rapidly than soil organic matter changes</w:t>
      </w:r>
    </w:p>
    <w:p w14:paraId="0E55AB61" w14:textId="77777777" w:rsidR="00E832D3" w:rsidRDefault="00E832D3" w:rsidP="00E832D3">
      <w:pPr>
        <w:pStyle w:val="ListParagraph"/>
        <w:numPr>
          <w:ilvl w:val="0"/>
          <w:numId w:val="54"/>
        </w:numPr>
      </w:pPr>
      <w:r>
        <w:t>Simple and easy methods available for use on farm</w:t>
      </w:r>
    </w:p>
    <w:p w14:paraId="29ED8BF8" w14:textId="77777777" w:rsidR="00E832D3" w:rsidRDefault="00E832D3" w:rsidP="00E832D3">
      <w:r w:rsidRPr="00E832D3">
        <w:t xml:space="preserve">With so much interest in soil health these days, many farmers are looking for properties they can measure to tell them how their soil management is affecting their soil’s health. The current soil health indicators in AHDB’s soil health scorecard are recommended for testing every 3 to 5 years, but farmers are looking for indicators that will tell them sooner how a recent change in management has affected their soil health. These Early Indicators to Monitor Changes in Soil Health need to be sensitive to management, but not so sensitive that they will be affected by recent weather or land operations. This factsheet summarises how aggregate stability can be used as an early indicator to monitor a change in soil health. </w:t>
      </w:r>
    </w:p>
    <w:p w14:paraId="31190A44" w14:textId="77777777" w:rsidR="00E832D3" w:rsidRPr="00760D19" w:rsidRDefault="00E832D3" w:rsidP="00E832D3">
      <w:pPr>
        <w:pStyle w:val="Heading5"/>
      </w:pPr>
      <w:r w:rsidRPr="00760D19">
        <w:t>What</w:t>
      </w:r>
      <w:r>
        <w:t xml:space="preserve"> is</w:t>
      </w:r>
      <w:r w:rsidRPr="00760D19">
        <w:t xml:space="preserve"> aggregate stability?</w:t>
      </w:r>
    </w:p>
    <w:p w14:paraId="28ABB2EA" w14:textId="77777777" w:rsidR="00E832D3" w:rsidRDefault="00E832D3" w:rsidP="00E832D3">
      <w:pPr>
        <w:rPr>
          <w:szCs w:val="20"/>
        </w:rPr>
      </w:pPr>
      <w:r w:rsidRPr="0059052C">
        <w:rPr>
          <w:szCs w:val="20"/>
        </w:rPr>
        <w:t xml:space="preserve">Soil aggregates </w:t>
      </w:r>
      <w:r>
        <w:rPr>
          <w:szCs w:val="20"/>
        </w:rPr>
        <w:t>are clusters of soil particles and organic matter that form</w:t>
      </w:r>
      <w:r w:rsidRPr="0059052C">
        <w:rPr>
          <w:szCs w:val="20"/>
        </w:rPr>
        <w:t xml:space="preserve"> the building blocks of soil</w:t>
      </w:r>
      <w:r>
        <w:rPr>
          <w:szCs w:val="20"/>
        </w:rPr>
        <w:t>. The shape, size and way soil aggregates are arranged with pores both within and between is the basis of soil structure. G</w:t>
      </w:r>
      <w:r w:rsidRPr="0059052C">
        <w:rPr>
          <w:szCs w:val="20"/>
        </w:rPr>
        <w:t xml:space="preserve">ood </w:t>
      </w:r>
      <w:r>
        <w:rPr>
          <w:szCs w:val="20"/>
        </w:rPr>
        <w:t xml:space="preserve">aggregate </w:t>
      </w:r>
      <w:r w:rsidRPr="0059052C">
        <w:rPr>
          <w:szCs w:val="20"/>
        </w:rPr>
        <w:t xml:space="preserve">structure </w:t>
      </w:r>
      <w:r>
        <w:rPr>
          <w:szCs w:val="20"/>
        </w:rPr>
        <w:t>directly benefits</w:t>
      </w:r>
      <w:r w:rsidRPr="0059052C">
        <w:rPr>
          <w:szCs w:val="20"/>
        </w:rPr>
        <w:t xml:space="preserve"> soil health</w:t>
      </w:r>
      <w:r>
        <w:rPr>
          <w:szCs w:val="20"/>
        </w:rPr>
        <w:t xml:space="preserve"> by improving porosity and aeration, infiltration and drainage, water holding capacity, soil life, root penetration and crop growth</w:t>
      </w:r>
      <w:r w:rsidRPr="0059052C">
        <w:rPr>
          <w:szCs w:val="20"/>
        </w:rPr>
        <w:t xml:space="preserve">. Aggregates are enhanced in soils by regular inputs of organic matter, since the stability is related to microbial activity and </w:t>
      </w:r>
      <w:r>
        <w:rPr>
          <w:szCs w:val="20"/>
        </w:rPr>
        <w:t>the</w:t>
      </w:r>
      <w:r w:rsidRPr="0059052C">
        <w:rPr>
          <w:szCs w:val="20"/>
        </w:rPr>
        <w:t xml:space="preserve"> exudates</w:t>
      </w:r>
      <w:r>
        <w:rPr>
          <w:szCs w:val="20"/>
        </w:rPr>
        <w:t xml:space="preserve"> microorganisms such as bacteria and fungi release that act as a glue to hold the soil particles together. </w:t>
      </w:r>
    </w:p>
    <w:p w14:paraId="5DFB772C" w14:textId="77777777" w:rsidR="00E832D3" w:rsidRPr="0059052C" w:rsidRDefault="00E832D3" w:rsidP="00E832D3">
      <w:pPr>
        <w:rPr>
          <w:szCs w:val="20"/>
        </w:rPr>
      </w:pPr>
      <w:r w:rsidRPr="0059052C">
        <w:rPr>
          <w:szCs w:val="20"/>
        </w:rPr>
        <w:t>Aggregate stability is a soil property that describes the</w:t>
      </w:r>
      <w:r>
        <w:rPr>
          <w:szCs w:val="20"/>
        </w:rPr>
        <w:t xml:space="preserve"> strength of soil aggregates and how resistant they are to </w:t>
      </w:r>
      <w:r w:rsidRPr="0059052C">
        <w:rPr>
          <w:szCs w:val="20"/>
        </w:rPr>
        <w:t>breakdown from mechanical factors including tillage</w:t>
      </w:r>
      <w:r>
        <w:rPr>
          <w:szCs w:val="20"/>
        </w:rPr>
        <w:t xml:space="preserve"> and</w:t>
      </w:r>
      <w:r w:rsidRPr="0059052C">
        <w:rPr>
          <w:szCs w:val="20"/>
        </w:rPr>
        <w:t xml:space="preserve"> water or wind erosion. Good aggregate stability is widely recognised as a positive indicator of </w:t>
      </w:r>
      <w:r>
        <w:rPr>
          <w:szCs w:val="20"/>
        </w:rPr>
        <w:t xml:space="preserve">the </w:t>
      </w:r>
      <w:r w:rsidRPr="0059052C">
        <w:rPr>
          <w:szCs w:val="20"/>
        </w:rPr>
        <w:t>soil</w:t>
      </w:r>
      <w:r>
        <w:rPr>
          <w:szCs w:val="20"/>
        </w:rPr>
        <w:t>’s physical</w:t>
      </w:r>
      <w:r w:rsidRPr="0059052C">
        <w:rPr>
          <w:szCs w:val="20"/>
        </w:rPr>
        <w:t xml:space="preserve"> health </w:t>
      </w:r>
      <w:r>
        <w:rPr>
          <w:szCs w:val="20"/>
        </w:rPr>
        <w:t>that also reflects an active soil biology and good chemical status. Changes in a</w:t>
      </w:r>
      <w:r w:rsidRPr="0059052C">
        <w:rPr>
          <w:szCs w:val="20"/>
        </w:rPr>
        <w:t xml:space="preserve">ggregate stability </w:t>
      </w:r>
      <w:r>
        <w:rPr>
          <w:szCs w:val="20"/>
        </w:rPr>
        <w:t>due to management can be detected sooner than other indicators of soil health, such as soil organic matter content</w:t>
      </w:r>
      <w:r w:rsidRPr="0059052C">
        <w:rPr>
          <w:szCs w:val="20"/>
        </w:rPr>
        <w:t>.</w:t>
      </w:r>
    </w:p>
    <w:p w14:paraId="1317CDB8" w14:textId="77777777" w:rsidR="00E832D3" w:rsidRPr="00874DDA" w:rsidRDefault="00E832D3" w:rsidP="00E832D3">
      <w:pPr>
        <w:pStyle w:val="Heading5"/>
      </w:pPr>
      <w:r w:rsidRPr="00874DDA">
        <w:t>How is aggregate stability measured?</w:t>
      </w:r>
    </w:p>
    <w:p w14:paraId="133BD38E" w14:textId="77777777" w:rsidR="00E832D3" w:rsidRPr="0059052C" w:rsidRDefault="00E832D3" w:rsidP="00E832D3">
      <w:pPr>
        <w:rPr>
          <w:szCs w:val="20"/>
        </w:rPr>
      </w:pPr>
      <w:r>
        <w:rPr>
          <w:szCs w:val="20"/>
        </w:rPr>
        <w:t xml:space="preserve">There are various laboratory methods for measuring aggregate stability. Standard methods involve placing dried soil aggregates on top of a set of stacked sieves of reducing mesh sizes and agitating in a column of water; after </w:t>
      </w:r>
      <w:proofErr w:type="gramStart"/>
      <w:r>
        <w:rPr>
          <w:szCs w:val="20"/>
        </w:rPr>
        <w:t>a period of time</w:t>
      </w:r>
      <w:proofErr w:type="gramEnd"/>
      <w:r>
        <w:rPr>
          <w:szCs w:val="20"/>
        </w:rPr>
        <w:t xml:space="preserve"> the weight of aggregates remaining on each sieve is measured and the percentage “water stable aggregates” is reported. A simplified wet sieving method involves placing sieved aggregates between 1 and 2 mm in diameter on a sieve and agitating in water for </w:t>
      </w:r>
      <w:proofErr w:type="gramStart"/>
      <w:r>
        <w:rPr>
          <w:szCs w:val="20"/>
        </w:rPr>
        <w:t>a period of time</w:t>
      </w:r>
      <w:proofErr w:type="gramEnd"/>
      <w:r>
        <w:rPr>
          <w:szCs w:val="20"/>
        </w:rPr>
        <w:t xml:space="preserve"> and recording the percentage of aggregates remaining. These methods are time consuming and laborious and not currently commercially available</w:t>
      </w:r>
      <w:r w:rsidRPr="0059052C">
        <w:rPr>
          <w:szCs w:val="20"/>
        </w:rPr>
        <w:t xml:space="preserve"> </w:t>
      </w:r>
      <w:r>
        <w:rPr>
          <w:szCs w:val="20"/>
        </w:rPr>
        <w:t>from</w:t>
      </w:r>
      <w:r w:rsidRPr="0059052C">
        <w:rPr>
          <w:szCs w:val="20"/>
        </w:rPr>
        <w:t xml:space="preserve"> any UK laboratory</w:t>
      </w:r>
      <w:r>
        <w:rPr>
          <w:szCs w:val="20"/>
        </w:rPr>
        <w:t>, however, growing interest in this indicator may result in more rapid and economical laboratory techniques being available in the future</w:t>
      </w:r>
      <w:r w:rsidRPr="0059052C">
        <w:rPr>
          <w:szCs w:val="20"/>
        </w:rPr>
        <w:t>.</w:t>
      </w:r>
    </w:p>
    <w:p w14:paraId="792F9B8A" w14:textId="77777777" w:rsidR="00E832D3" w:rsidRDefault="00E832D3" w:rsidP="00E832D3">
      <w:pPr>
        <w:rPr>
          <w:szCs w:val="20"/>
        </w:rPr>
      </w:pPr>
      <w:r w:rsidRPr="0059052C">
        <w:rPr>
          <w:szCs w:val="20"/>
        </w:rPr>
        <w:t xml:space="preserve">Slaking is the rapid disintegration of dry soil aggregates when suddenly wetted, caused by the build-up of internal air pressure as water enters soil pores. Slake testing has been proposed as an alternative </w:t>
      </w:r>
      <w:r>
        <w:rPr>
          <w:szCs w:val="20"/>
        </w:rPr>
        <w:t>to laboratory methods for assessing</w:t>
      </w:r>
      <w:r w:rsidRPr="0059052C">
        <w:rPr>
          <w:szCs w:val="20"/>
        </w:rPr>
        <w:t xml:space="preserve"> aggregate stability. Recent peer-reviewed studies have confirmed a positive relationship between the slake test performed rapidly at home</w:t>
      </w:r>
      <w:r>
        <w:rPr>
          <w:szCs w:val="20"/>
        </w:rPr>
        <w:t xml:space="preserve"> </w:t>
      </w:r>
      <w:r w:rsidRPr="0059052C">
        <w:rPr>
          <w:szCs w:val="20"/>
        </w:rPr>
        <w:t>using a mobile pho</w:t>
      </w:r>
      <w:r w:rsidRPr="00287EA8">
        <w:rPr>
          <w:szCs w:val="20"/>
        </w:rPr>
        <w:t>ne app</w:t>
      </w:r>
      <w:r>
        <w:rPr>
          <w:szCs w:val="20"/>
        </w:rPr>
        <w:t xml:space="preserve">, </w:t>
      </w:r>
      <w:r>
        <w:rPr>
          <w:szCs w:val="20"/>
        </w:rPr>
        <w:lastRenderedPageBreak/>
        <w:t xml:space="preserve">and standard </w:t>
      </w:r>
      <w:r w:rsidRPr="0059052C">
        <w:rPr>
          <w:szCs w:val="20"/>
        </w:rPr>
        <w:t xml:space="preserve">laboratory-based </w:t>
      </w:r>
      <w:r>
        <w:rPr>
          <w:szCs w:val="20"/>
        </w:rPr>
        <w:t>measures of</w:t>
      </w:r>
      <w:r w:rsidRPr="0092467E">
        <w:rPr>
          <w:szCs w:val="20"/>
        </w:rPr>
        <w:t xml:space="preserve"> </w:t>
      </w:r>
      <w:r w:rsidRPr="0059052C">
        <w:rPr>
          <w:szCs w:val="20"/>
        </w:rPr>
        <w:t xml:space="preserve">aggregate stability (Flynn et al., 2020; </w:t>
      </w:r>
      <w:proofErr w:type="spellStart"/>
      <w:r w:rsidRPr="0059052C">
        <w:rPr>
          <w:szCs w:val="20"/>
        </w:rPr>
        <w:t>Trybek</w:t>
      </w:r>
      <w:proofErr w:type="spellEnd"/>
      <w:r w:rsidRPr="0059052C">
        <w:rPr>
          <w:szCs w:val="20"/>
        </w:rPr>
        <w:t xml:space="preserve"> et al., 2026).</w:t>
      </w:r>
    </w:p>
    <w:p w14:paraId="50F15607" w14:textId="7A7811E6" w:rsidR="00E832D3" w:rsidRDefault="00E832D3" w:rsidP="00E832D3">
      <w:pPr>
        <w:pStyle w:val="Caption"/>
        <w:keepNext/>
      </w:pPr>
      <w:r>
        <w:t xml:space="preserve">Figure </w:t>
      </w:r>
      <w:r>
        <w:fldChar w:fldCharType="begin"/>
      </w:r>
      <w:r>
        <w:instrText>SEQ Figure \* ARABIC</w:instrText>
      </w:r>
      <w:r>
        <w:fldChar w:fldCharType="separate"/>
      </w:r>
      <w:r w:rsidR="007D3945">
        <w:rPr>
          <w:noProof/>
        </w:rPr>
        <w:t>16</w:t>
      </w:r>
      <w:r>
        <w:fldChar w:fldCharType="end"/>
      </w:r>
      <w:r>
        <w:t>. Pea-sized aggregates collected from the field for air-drying and assessing using the Slakes mobile phone app. Photo: Julia Cooper.</w:t>
      </w:r>
    </w:p>
    <w:p w14:paraId="43715805" w14:textId="77777777" w:rsidR="00E832D3" w:rsidRDefault="00E832D3" w:rsidP="00E832D3">
      <w:r>
        <w:rPr>
          <w:noProof/>
          <w:szCs w:val="20"/>
        </w:rPr>
        <w:drawing>
          <wp:inline distT="0" distB="0" distL="0" distR="0" wp14:anchorId="790D1282" wp14:editId="215B5AA5">
            <wp:extent cx="5759450" cy="3319204"/>
            <wp:effectExtent l="0" t="0" r="0" b="0"/>
            <wp:docPr id="15083603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6112" t="8058" r="20101"/>
                    <a:stretch>
                      <a:fillRect/>
                    </a:stretch>
                  </pic:blipFill>
                  <pic:spPr bwMode="auto">
                    <a:xfrm>
                      <a:off x="0" y="0"/>
                      <a:ext cx="5759450" cy="3319204"/>
                    </a:xfrm>
                    <a:prstGeom prst="rect">
                      <a:avLst/>
                    </a:prstGeom>
                    <a:noFill/>
                    <a:ln>
                      <a:noFill/>
                    </a:ln>
                    <a:extLst>
                      <a:ext uri="{53640926-AAD7-44D8-BBD7-CCE9431645EC}">
                        <a14:shadowObscured xmlns:a14="http://schemas.microsoft.com/office/drawing/2010/main"/>
                      </a:ext>
                    </a:extLst>
                  </pic:spPr>
                </pic:pic>
              </a:graphicData>
            </a:graphic>
          </wp:inline>
        </w:drawing>
      </w:r>
    </w:p>
    <w:p w14:paraId="13785B81" w14:textId="77777777" w:rsidR="00E832D3" w:rsidRDefault="00E832D3" w:rsidP="00E832D3"/>
    <w:p w14:paraId="34B0BA4B" w14:textId="77777777" w:rsidR="00E832D3" w:rsidRDefault="00E832D3" w:rsidP="00E832D3">
      <w:pPr>
        <w:rPr>
          <w:szCs w:val="20"/>
        </w:rPr>
      </w:pPr>
      <w:r w:rsidRPr="00245AD8">
        <w:rPr>
          <w:szCs w:val="20"/>
        </w:rPr>
        <w:t>There are</w:t>
      </w:r>
      <w:r>
        <w:rPr>
          <w:szCs w:val="20"/>
        </w:rPr>
        <w:t xml:space="preserve"> a few variations on</w:t>
      </w:r>
      <w:r w:rsidRPr="00245AD8">
        <w:rPr>
          <w:szCs w:val="20"/>
        </w:rPr>
        <w:t xml:space="preserve"> </w:t>
      </w:r>
      <w:r>
        <w:rPr>
          <w:szCs w:val="20"/>
        </w:rPr>
        <w:t>slake testing protocols</w:t>
      </w:r>
      <w:r w:rsidRPr="00245AD8">
        <w:rPr>
          <w:szCs w:val="20"/>
        </w:rPr>
        <w:t xml:space="preserve">, but the basic principle </w:t>
      </w:r>
      <w:r>
        <w:rPr>
          <w:szCs w:val="20"/>
        </w:rPr>
        <w:t>involves</w:t>
      </w:r>
      <w:r w:rsidRPr="00245AD8">
        <w:rPr>
          <w:szCs w:val="20"/>
        </w:rPr>
        <w:t xml:space="preserve"> immersing </w:t>
      </w:r>
      <w:r>
        <w:rPr>
          <w:szCs w:val="20"/>
        </w:rPr>
        <w:t xml:space="preserve">small (pea sized), air-dried </w:t>
      </w:r>
      <w:r w:rsidRPr="00245AD8">
        <w:rPr>
          <w:szCs w:val="20"/>
        </w:rPr>
        <w:t>pieces of soil in water for a short period of time</w:t>
      </w:r>
      <w:r>
        <w:rPr>
          <w:szCs w:val="20"/>
        </w:rPr>
        <w:t xml:space="preserve"> and recording how fast they disintegrate</w:t>
      </w:r>
      <w:r w:rsidRPr="00245AD8">
        <w:rPr>
          <w:szCs w:val="20"/>
        </w:rPr>
        <w:t xml:space="preserve">. </w:t>
      </w:r>
      <w:r>
        <w:rPr>
          <w:szCs w:val="20"/>
        </w:rPr>
        <w:t>Two options for conducting slake testing on farm are listed below. Since, each test is done slightly differently, it is recommended that one method is chosen and followed each time to reduce variability in measurements. As the test assesses the strength of soil aggregates, the samples need to be handled with care. Collecting samples with a spade from the topsoil at the same time of year (autumn is preferable), when the soil is moist but not too wet or waterlogged, is recommended.</w:t>
      </w:r>
    </w:p>
    <w:p w14:paraId="37757DBC" w14:textId="3C920685" w:rsidR="00E832D3" w:rsidRDefault="00E832D3" w:rsidP="00E832D3">
      <w:pPr>
        <w:pStyle w:val="Heading6"/>
      </w:pPr>
      <w:r>
        <w:t>The Slakes app</w:t>
      </w:r>
    </w:p>
    <w:p w14:paraId="31CF675F" w14:textId="4C598A76" w:rsidR="00E832D3" w:rsidRDefault="00E832D3" w:rsidP="00E832D3">
      <w:r w:rsidRPr="00DB4D3B">
        <w:t xml:space="preserve">The </w:t>
      </w:r>
      <w:r w:rsidRPr="00E832D3">
        <w:t>Slakes app</w:t>
      </w:r>
      <w:r w:rsidRPr="00DB4D3B">
        <w:t xml:space="preserve"> (available for Android or iOS phone) uses air-dried (overnight or longer if very wet soil) pea sized aggregates of soil (Figure 1</w:t>
      </w:r>
      <w:r w:rsidR="00EA0FC6">
        <w:t>6</w:t>
      </w:r>
      <w:r w:rsidRPr="00DB4D3B">
        <w:t xml:space="preserve">). Items needed; clear or white plastic dishes, tap water, and something to mount the phone over the dishes (e.g. tripod, can, jar; Figure </w:t>
      </w:r>
      <w:r w:rsidR="00EA0FC6">
        <w:t>17</w:t>
      </w:r>
      <w:r w:rsidRPr="00DB4D3B">
        <w:t xml:space="preserve">). The app uses image analysis to document the disintegration of air-dried aggregates in tap water during a </w:t>
      </w:r>
      <w:r w:rsidR="00214F72" w:rsidRPr="00DB4D3B">
        <w:t>10-minute</w:t>
      </w:r>
      <w:r w:rsidRPr="00DB4D3B">
        <w:t xml:space="preserve"> </w:t>
      </w:r>
      <w:r w:rsidR="00214F72" w:rsidRPr="00DB4D3B">
        <w:t>period and</w:t>
      </w:r>
      <w:r w:rsidRPr="00DB4D3B">
        <w:t xml:space="preserve"> returns an index of aggregate stability (Figure </w:t>
      </w:r>
      <w:r w:rsidR="00EA0FC6">
        <w:t>18</w:t>
      </w:r>
      <w:r w:rsidRPr="00DB4D3B">
        <w:t xml:space="preserve">). </w:t>
      </w:r>
      <w:r w:rsidR="00FA2B79">
        <w:t xml:space="preserve">Indices fall between 0.1 and 1 with a higher score indicating higher aggregate stability. </w:t>
      </w:r>
      <w:r w:rsidRPr="00DB4D3B">
        <w:t>The Slakes app removes the subjectivity associated with some other methods of assessing slake testing that require the operator to assign a score.</w:t>
      </w:r>
      <w:r w:rsidR="007D3945">
        <w:t xml:space="preserve"> </w:t>
      </w:r>
    </w:p>
    <w:p w14:paraId="13557D56" w14:textId="1C55A933" w:rsidR="00E832D3" w:rsidRDefault="00E832D3" w:rsidP="00E832D3">
      <w:pPr>
        <w:pStyle w:val="Caption"/>
        <w:keepNext/>
      </w:pPr>
      <w:r>
        <w:lastRenderedPageBreak/>
        <w:t xml:space="preserve">Figure </w:t>
      </w:r>
      <w:r>
        <w:fldChar w:fldCharType="begin"/>
      </w:r>
      <w:r>
        <w:instrText>SEQ Figure \* ARABIC</w:instrText>
      </w:r>
      <w:r>
        <w:fldChar w:fldCharType="separate"/>
      </w:r>
      <w:r w:rsidR="007D3945">
        <w:rPr>
          <w:noProof/>
        </w:rPr>
        <w:t>17</w:t>
      </w:r>
      <w:r>
        <w:fldChar w:fldCharType="end"/>
      </w:r>
      <w:r>
        <w:t>. Simple setup of for at-home slake testing for aggregate stability using the Slakes app. Photo: Julia Cooper</w:t>
      </w:r>
    </w:p>
    <w:p w14:paraId="2BEDEE26" w14:textId="415C7CBD" w:rsidR="00E832D3" w:rsidRDefault="00E832D3" w:rsidP="00E832D3">
      <w:r>
        <w:rPr>
          <w:noProof/>
          <w:szCs w:val="20"/>
        </w:rPr>
        <w:drawing>
          <wp:inline distT="0" distB="0" distL="0" distR="0" wp14:anchorId="142A2638" wp14:editId="615DF1A0">
            <wp:extent cx="3352800" cy="2218110"/>
            <wp:effectExtent l="0" t="0" r="0" b="0"/>
            <wp:docPr id="1182587902" name="Picture 4" descr="The mobile phone is positioned on top of a glass jar with the phone camera overhanging on one side. The phone camera overlooks a white dish containing three pea-sized soil aggregates, ready for 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87902" name="Picture 4" descr="The mobile phone is positioned on top of a glass jar with the phone camera overhanging on one side. The phone camera overlooks a white dish containing three pea-sized soil aggregates, ready for testin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2446" t="17039" b="5731"/>
                    <a:stretch>
                      <a:fillRect/>
                    </a:stretch>
                  </pic:blipFill>
                  <pic:spPr bwMode="auto">
                    <a:xfrm>
                      <a:off x="0" y="0"/>
                      <a:ext cx="3375859" cy="2233365"/>
                    </a:xfrm>
                    <a:prstGeom prst="rect">
                      <a:avLst/>
                    </a:prstGeom>
                    <a:noFill/>
                    <a:ln>
                      <a:noFill/>
                    </a:ln>
                    <a:extLst>
                      <a:ext uri="{53640926-AAD7-44D8-BBD7-CCE9431645EC}">
                        <a14:shadowObscured xmlns:a14="http://schemas.microsoft.com/office/drawing/2010/main"/>
                      </a:ext>
                    </a:extLst>
                  </pic:spPr>
                </pic:pic>
              </a:graphicData>
            </a:graphic>
          </wp:inline>
        </w:drawing>
      </w:r>
    </w:p>
    <w:p w14:paraId="6E68B23D" w14:textId="7CA6254A" w:rsidR="00E832D3" w:rsidRPr="00AB3033" w:rsidRDefault="00E832D3" w:rsidP="00E832D3">
      <w:pPr>
        <w:pStyle w:val="Caption"/>
      </w:pPr>
      <w:r>
        <w:t xml:space="preserve">Figure </w:t>
      </w:r>
      <w:r>
        <w:fldChar w:fldCharType="begin"/>
      </w:r>
      <w:r>
        <w:instrText>SEQ Figure \* ARABIC</w:instrText>
      </w:r>
      <w:r>
        <w:fldChar w:fldCharType="separate"/>
      </w:r>
      <w:r w:rsidR="007D3945">
        <w:rPr>
          <w:noProof/>
        </w:rPr>
        <w:t>18</w:t>
      </w:r>
      <w:r>
        <w:fldChar w:fldCharType="end"/>
      </w:r>
      <w:r>
        <w:t>. Example outcome from an at-home slake test using the Slakes app. Photo: Julia Cooper.</w:t>
      </w:r>
    </w:p>
    <w:p w14:paraId="2877BC1B" w14:textId="1A9DD832" w:rsidR="00E832D3" w:rsidRDefault="00E832D3" w:rsidP="00E832D3">
      <w:r>
        <w:rPr>
          <w:noProof/>
        </w:rPr>
        <w:drawing>
          <wp:inline distT="0" distB="0" distL="0" distR="0" wp14:anchorId="347BB9E6" wp14:editId="4B7D0B50">
            <wp:extent cx="2038350" cy="3287355"/>
            <wp:effectExtent l="0" t="0" r="0" b="8890"/>
            <wp:docPr id="2045285698" name="Picture 5" descr="The Slakes app results screen, showing the aggregate stability index and two images of the aggregates; the initial image and the final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85698" name="Picture 5" descr="The Slakes app results screen, showing the aggregate stability index and two images of the aggregates; the initial image and the final image.  "/>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3277" r="20013"/>
                    <a:stretch>
                      <a:fillRect/>
                    </a:stretch>
                  </pic:blipFill>
                  <pic:spPr bwMode="auto">
                    <a:xfrm>
                      <a:off x="0" y="0"/>
                      <a:ext cx="2068737" cy="3336362"/>
                    </a:xfrm>
                    <a:prstGeom prst="rect">
                      <a:avLst/>
                    </a:prstGeom>
                    <a:noFill/>
                    <a:ln>
                      <a:noFill/>
                    </a:ln>
                    <a:extLst>
                      <a:ext uri="{53640926-AAD7-44D8-BBD7-CCE9431645EC}">
                        <a14:shadowObscured xmlns:a14="http://schemas.microsoft.com/office/drawing/2010/main"/>
                      </a:ext>
                    </a:extLst>
                  </pic:spPr>
                </pic:pic>
              </a:graphicData>
            </a:graphic>
          </wp:inline>
        </w:drawing>
      </w:r>
    </w:p>
    <w:p w14:paraId="3A549EF8" w14:textId="2CEADF0C" w:rsidR="00C400DA" w:rsidRDefault="00C400DA" w:rsidP="00C400DA">
      <w:pPr>
        <w:pStyle w:val="Heading6"/>
      </w:pPr>
      <w:r>
        <w:t>The Soil Mentor app</w:t>
      </w:r>
    </w:p>
    <w:p w14:paraId="54074665" w14:textId="461B4611" w:rsidR="00C400DA" w:rsidRDefault="00C400DA" w:rsidP="00C400DA">
      <w:r>
        <w:t>The Soil Mentor app (available on iOS and android) requires a typical kitchen sieve, small 1 to 3 mm sized aggregates of air-dried soil and a stopwatch/timer. Aggregates are scored between 0 and 2 after 5 minutes immersion in water depending on the amount of disintegration of the aggregates. Some degree of training is required but the phone app provides instructions and a scale (</w:t>
      </w:r>
      <w:r>
        <w:fldChar w:fldCharType="begin"/>
      </w:r>
      <w:r>
        <w:instrText xml:space="preserve"> REF _Ref233022616 \h </w:instrText>
      </w:r>
      <w:r>
        <w:fldChar w:fldCharType="separate"/>
      </w:r>
      <w:r>
        <w:t xml:space="preserve">Table </w:t>
      </w:r>
      <w:r>
        <w:rPr>
          <w:noProof/>
        </w:rPr>
        <w:t>22</w:t>
      </w:r>
      <w:r>
        <w:fldChar w:fldCharType="end"/>
      </w:r>
      <w:r>
        <w:t>).</w:t>
      </w:r>
    </w:p>
    <w:p w14:paraId="71B4471F" w14:textId="4FB50930" w:rsidR="00C400DA" w:rsidRDefault="00C400DA" w:rsidP="00C400DA">
      <w:pPr>
        <w:pStyle w:val="Caption"/>
        <w:keepNext/>
      </w:pPr>
      <w:bookmarkStart w:id="127" w:name="_Ref233022616"/>
      <w:r>
        <w:lastRenderedPageBreak/>
        <w:t xml:space="preserve">Table </w:t>
      </w:r>
      <w:r>
        <w:fldChar w:fldCharType="begin"/>
      </w:r>
      <w:r>
        <w:instrText>SEQ Table \* ARABIC</w:instrText>
      </w:r>
      <w:r>
        <w:fldChar w:fldCharType="separate"/>
      </w:r>
      <w:r>
        <w:rPr>
          <w:noProof/>
        </w:rPr>
        <w:t>22</w:t>
      </w:r>
      <w:r>
        <w:fldChar w:fldCharType="end"/>
      </w:r>
      <w:bookmarkEnd w:id="127"/>
      <w:r>
        <w:t>. Scoring systems for the slake test – adapted from Soil mentor protocol (https://soils.vidacycle.com/soil-tests/1-2-slake-0-8/) on air-dried soil.</w:t>
      </w:r>
    </w:p>
    <w:tbl>
      <w:tblPr>
        <w:tblStyle w:val="TableGrid"/>
        <w:tblW w:w="0" w:type="auto"/>
        <w:tblLook w:val="04A0" w:firstRow="1" w:lastRow="0" w:firstColumn="1" w:lastColumn="0" w:noHBand="0" w:noVBand="1"/>
      </w:tblPr>
      <w:tblGrid>
        <w:gridCol w:w="2547"/>
        <w:gridCol w:w="3282"/>
        <w:gridCol w:w="3187"/>
      </w:tblGrid>
      <w:tr w:rsidR="00C400DA" w14:paraId="1A4AEAC3" w14:textId="77777777" w:rsidTr="00C400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C3D9518" w14:textId="77777777" w:rsidR="00C400DA" w:rsidRPr="00EE4A0D" w:rsidRDefault="00C400DA" w:rsidP="00C400DA">
            <w:pPr>
              <w:spacing w:before="144" w:after="144"/>
              <w:jc w:val="center"/>
              <w:rPr>
                <w:b w:val="0"/>
                <w:bCs/>
                <w:color w:val="FFFFFF" w:themeColor="background1"/>
                <w:szCs w:val="20"/>
              </w:rPr>
            </w:pPr>
            <w:r w:rsidRPr="00C400DA">
              <w:rPr>
                <w:szCs w:val="20"/>
              </w:rPr>
              <w:t>Condition of the soil</w:t>
            </w:r>
          </w:p>
        </w:tc>
        <w:tc>
          <w:tcPr>
            <w:tcW w:w="3282" w:type="dxa"/>
          </w:tcPr>
          <w:p w14:paraId="418DB1FB" w14:textId="77777777" w:rsidR="00C400DA" w:rsidRPr="00EE4A0D" w:rsidRDefault="00C400DA" w:rsidP="00C400DA">
            <w:pPr>
              <w:spacing w:before="144" w:after="144"/>
              <w:jc w:val="center"/>
              <w:cnfStyle w:val="100000000000" w:firstRow="1" w:lastRow="0" w:firstColumn="0" w:lastColumn="0" w:oddVBand="0" w:evenVBand="0" w:oddHBand="0" w:evenHBand="0" w:firstRowFirstColumn="0" w:firstRowLastColumn="0" w:lastRowFirstColumn="0" w:lastRowLastColumn="0"/>
              <w:rPr>
                <w:b w:val="0"/>
                <w:bCs/>
                <w:color w:val="FFFFFF" w:themeColor="background1"/>
                <w:szCs w:val="20"/>
              </w:rPr>
            </w:pPr>
            <w:r w:rsidRPr="00C400DA">
              <w:rPr>
                <w:szCs w:val="20"/>
              </w:rPr>
              <w:t>Description</w:t>
            </w:r>
          </w:p>
        </w:tc>
        <w:tc>
          <w:tcPr>
            <w:tcW w:w="3187" w:type="dxa"/>
          </w:tcPr>
          <w:p w14:paraId="73F1B21D" w14:textId="77777777" w:rsidR="00C400DA" w:rsidRPr="00EE4A0D" w:rsidRDefault="00C400DA" w:rsidP="00C400DA">
            <w:pPr>
              <w:spacing w:before="144" w:after="144"/>
              <w:jc w:val="center"/>
              <w:cnfStyle w:val="100000000000" w:firstRow="1" w:lastRow="0" w:firstColumn="0" w:lastColumn="0" w:oddVBand="0" w:evenVBand="0" w:oddHBand="0" w:evenHBand="0" w:firstRowFirstColumn="0" w:firstRowLastColumn="0" w:lastRowFirstColumn="0" w:lastRowLastColumn="0"/>
              <w:rPr>
                <w:b w:val="0"/>
                <w:bCs/>
                <w:color w:val="FFFFFF" w:themeColor="background1"/>
                <w:szCs w:val="20"/>
              </w:rPr>
            </w:pPr>
            <w:r w:rsidRPr="00C400DA">
              <w:rPr>
                <w:szCs w:val="20"/>
              </w:rPr>
              <w:t>What this means</w:t>
            </w:r>
          </w:p>
        </w:tc>
      </w:tr>
      <w:tr w:rsidR="00C400DA" w14:paraId="6E0AB01F" w14:textId="77777777" w:rsidTr="00C400DA">
        <w:tc>
          <w:tcPr>
            <w:cnfStyle w:val="001000000000" w:firstRow="0" w:lastRow="0" w:firstColumn="1" w:lastColumn="0" w:oddVBand="0" w:evenVBand="0" w:oddHBand="0" w:evenHBand="0" w:firstRowFirstColumn="0" w:firstRowLastColumn="0" w:lastRowFirstColumn="0" w:lastRowLastColumn="0"/>
            <w:tcW w:w="2547" w:type="dxa"/>
          </w:tcPr>
          <w:p w14:paraId="471D07CB" w14:textId="77777777" w:rsidR="00C400DA" w:rsidRPr="00E4258E" w:rsidRDefault="00C400DA" w:rsidP="00197B9E">
            <w:pPr>
              <w:spacing w:before="144" w:after="144"/>
              <w:rPr>
                <w:b w:val="0"/>
                <w:bCs/>
                <w:szCs w:val="20"/>
              </w:rPr>
            </w:pPr>
            <w:r w:rsidRPr="00E4258E">
              <w:rPr>
                <w:b w:val="0"/>
                <w:bCs/>
                <w:szCs w:val="20"/>
              </w:rPr>
              <w:t>0 – Dissolves into single grains</w:t>
            </w:r>
          </w:p>
        </w:tc>
        <w:tc>
          <w:tcPr>
            <w:tcW w:w="3282" w:type="dxa"/>
          </w:tcPr>
          <w:p w14:paraId="3FC0BF21" w14:textId="77777777" w:rsidR="00C400DA" w:rsidRPr="004C1213" w:rsidRDefault="00C400DA" w:rsidP="00197B9E">
            <w:pPr>
              <w:spacing w:before="144" w:after="144"/>
              <w:cnfStyle w:val="000000000000" w:firstRow="0" w:lastRow="0" w:firstColumn="0" w:lastColumn="0" w:oddVBand="0" w:evenVBand="0" w:oddHBand="0" w:evenHBand="0" w:firstRowFirstColumn="0" w:firstRowLastColumn="0" w:lastRowFirstColumn="0" w:lastRowLastColumn="0"/>
              <w:rPr>
                <w:szCs w:val="20"/>
              </w:rPr>
            </w:pPr>
            <w:r w:rsidRPr="004C1213">
              <w:rPr>
                <w:szCs w:val="20"/>
              </w:rPr>
              <w:t>Soil lump collapses completely</w:t>
            </w:r>
            <w:r>
              <w:rPr>
                <w:szCs w:val="20"/>
              </w:rPr>
              <w:t>;</w:t>
            </w:r>
            <w:r w:rsidRPr="004C1213">
              <w:rPr>
                <w:szCs w:val="20"/>
              </w:rPr>
              <w:t xml:space="preserve"> soil aggregates too unstable</w:t>
            </w:r>
          </w:p>
        </w:tc>
        <w:tc>
          <w:tcPr>
            <w:tcW w:w="3187" w:type="dxa"/>
          </w:tcPr>
          <w:p w14:paraId="60711A4C" w14:textId="77777777" w:rsidR="00C400DA" w:rsidRPr="004C1213" w:rsidRDefault="00C400DA" w:rsidP="00197B9E">
            <w:pPr>
              <w:spacing w:before="144" w:after="144"/>
              <w:cnfStyle w:val="000000000000" w:firstRow="0" w:lastRow="0" w:firstColumn="0" w:lastColumn="0" w:oddVBand="0" w:evenVBand="0" w:oddHBand="0" w:evenHBand="0" w:firstRowFirstColumn="0" w:firstRowLastColumn="0" w:lastRowFirstColumn="0" w:lastRowLastColumn="0"/>
              <w:rPr>
                <w:szCs w:val="20"/>
              </w:rPr>
            </w:pPr>
            <w:r w:rsidRPr="004C1213">
              <w:rPr>
                <w:szCs w:val="20"/>
              </w:rPr>
              <w:t>Poor soil stability, lacking in soil organic matter and microbial activity</w:t>
            </w:r>
          </w:p>
        </w:tc>
      </w:tr>
      <w:tr w:rsidR="00C400DA" w14:paraId="5D72CCCB" w14:textId="77777777" w:rsidTr="00C400DA">
        <w:tc>
          <w:tcPr>
            <w:cnfStyle w:val="001000000000" w:firstRow="0" w:lastRow="0" w:firstColumn="1" w:lastColumn="0" w:oddVBand="0" w:evenVBand="0" w:oddHBand="0" w:evenHBand="0" w:firstRowFirstColumn="0" w:firstRowLastColumn="0" w:lastRowFirstColumn="0" w:lastRowLastColumn="0"/>
            <w:tcW w:w="2547" w:type="dxa"/>
          </w:tcPr>
          <w:p w14:paraId="2B137F49" w14:textId="77777777" w:rsidR="00C400DA" w:rsidRPr="00E4258E" w:rsidRDefault="00C400DA" w:rsidP="00197B9E">
            <w:pPr>
              <w:spacing w:before="144" w:after="144"/>
              <w:rPr>
                <w:b w:val="0"/>
                <w:bCs/>
                <w:szCs w:val="20"/>
              </w:rPr>
            </w:pPr>
            <w:r w:rsidRPr="00E4258E">
              <w:rPr>
                <w:b w:val="0"/>
                <w:bCs/>
                <w:szCs w:val="20"/>
              </w:rPr>
              <w:t>0.5 – Soil slumps to pyramid shape</w:t>
            </w:r>
          </w:p>
        </w:tc>
        <w:tc>
          <w:tcPr>
            <w:tcW w:w="3282" w:type="dxa"/>
          </w:tcPr>
          <w:p w14:paraId="2606EE42" w14:textId="14D5900E" w:rsidR="00C400DA" w:rsidRPr="004C1213" w:rsidRDefault="00C400DA" w:rsidP="00197B9E">
            <w:pPr>
              <w:spacing w:before="144" w:after="144"/>
              <w:cnfStyle w:val="000000000000" w:firstRow="0" w:lastRow="0" w:firstColumn="0" w:lastColumn="0" w:oddVBand="0" w:evenVBand="0" w:oddHBand="0" w:evenHBand="0" w:firstRowFirstColumn="0" w:firstRowLastColumn="0" w:lastRowFirstColumn="0" w:lastRowLastColumn="0"/>
              <w:rPr>
                <w:szCs w:val="20"/>
              </w:rPr>
            </w:pPr>
            <w:r w:rsidRPr="004C1213">
              <w:rPr>
                <w:szCs w:val="20"/>
              </w:rPr>
              <w:t>Soil collapses into a cone shape of less than 2</w:t>
            </w:r>
            <w:r w:rsidR="00214F72">
              <w:rPr>
                <w:szCs w:val="20"/>
              </w:rPr>
              <w:t xml:space="preserve"> </w:t>
            </w:r>
            <w:r w:rsidRPr="004C1213">
              <w:rPr>
                <w:szCs w:val="20"/>
              </w:rPr>
              <w:t>mm grains, water cloudy</w:t>
            </w:r>
          </w:p>
        </w:tc>
        <w:tc>
          <w:tcPr>
            <w:tcW w:w="3187" w:type="dxa"/>
          </w:tcPr>
          <w:p w14:paraId="72EF328A" w14:textId="77777777" w:rsidR="00C400DA" w:rsidRPr="004C1213" w:rsidRDefault="00C400DA" w:rsidP="00197B9E">
            <w:pPr>
              <w:spacing w:before="144" w:after="144"/>
              <w:cnfStyle w:val="000000000000" w:firstRow="0" w:lastRow="0" w:firstColumn="0" w:lastColumn="0" w:oddVBand="0" w:evenVBand="0" w:oddHBand="0" w:evenHBand="0" w:firstRowFirstColumn="0" w:firstRowLastColumn="0" w:lastRowFirstColumn="0" w:lastRowLastColumn="0"/>
              <w:rPr>
                <w:szCs w:val="20"/>
              </w:rPr>
            </w:pPr>
            <w:r w:rsidRPr="004C1213">
              <w:rPr>
                <w:szCs w:val="20"/>
              </w:rPr>
              <w:t>Lacking in cohesion and stability</w:t>
            </w:r>
          </w:p>
        </w:tc>
      </w:tr>
      <w:tr w:rsidR="00C400DA" w14:paraId="6C6C4849" w14:textId="77777777" w:rsidTr="00C400DA">
        <w:tc>
          <w:tcPr>
            <w:cnfStyle w:val="001000000000" w:firstRow="0" w:lastRow="0" w:firstColumn="1" w:lastColumn="0" w:oddVBand="0" w:evenVBand="0" w:oddHBand="0" w:evenHBand="0" w:firstRowFirstColumn="0" w:firstRowLastColumn="0" w:lastRowFirstColumn="0" w:lastRowLastColumn="0"/>
            <w:tcW w:w="2547" w:type="dxa"/>
          </w:tcPr>
          <w:p w14:paraId="182780E8" w14:textId="77777777" w:rsidR="00C400DA" w:rsidRPr="00E4258E" w:rsidRDefault="00C400DA" w:rsidP="00197B9E">
            <w:pPr>
              <w:spacing w:before="144" w:after="144"/>
              <w:rPr>
                <w:b w:val="0"/>
                <w:bCs/>
                <w:szCs w:val="20"/>
              </w:rPr>
            </w:pPr>
            <w:r w:rsidRPr="00E4258E">
              <w:rPr>
                <w:b w:val="0"/>
                <w:bCs/>
                <w:szCs w:val="20"/>
              </w:rPr>
              <w:t>1 – Breaks into angular pieces</w:t>
            </w:r>
          </w:p>
        </w:tc>
        <w:tc>
          <w:tcPr>
            <w:tcW w:w="3282" w:type="dxa"/>
          </w:tcPr>
          <w:p w14:paraId="3E89131B" w14:textId="77777777" w:rsidR="00C400DA" w:rsidRPr="004C1213" w:rsidRDefault="00C400DA" w:rsidP="00197B9E">
            <w:pPr>
              <w:spacing w:before="144" w:after="144"/>
              <w:cnfStyle w:val="000000000000" w:firstRow="0" w:lastRow="0" w:firstColumn="0" w:lastColumn="0" w:oddVBand="0" w:evenVBand="0" w:oddHBand="0" w:evenHBand="0" w:firstRowFirstColumn="0" w:firstRowLastColumn="0" w:lastRowFirstColumn="0" w:lastRowLastColumn="0"/>
              <w:rPr>
                <w:szCs w:val="20"/>
              </w:rPr>
            </w:pPr>
            <w:r w:rsidRPr="004C1213">
              <w:rPr>
                <w:szCs w:val="20"/>
              </w:rPr>
              <w:t>Soil lumps break into large angular pieces</w:t>
            </w:r>
          </w:p>
        </w:tc>
        <w:tc>
          <w:tcPr>
            <w:tcW w:w="3187" w:type="dxa"/>
          </w:tcPr>
          <w:p w14:paraId="2BAECFF2" w14:textId="77777777" w:rsidR="00C400DA" w:rsidRPr="004C1213" w:rsidRDefault="00C400DA" w:rsidP="00197B9E">
            <w:pPr>
              <w:spacing w:before="144" w:after="144"/>
              <w:cnfStyle w:val="000000000000" w:firstRow="0" w:lastRow="0" w:firstColumn="0" w:lastColumn="0" w:oddVBand="0" w:evenVBand="0" w:oddHBand="0" w:evenHBand="0" w:firstRowFirstColumn="0" w:firstRowLastColumn="0" w:lastRowFirstColumn="0" w:lastRowLastColumn="0"/>
              <w:rPr>
                <w:szCs w:val="20"/>
              </w:rPr>
            </w:pPr>
            <w:r w:rsidRPr="004C1213">
              <w:rPr>
                <w:szCs w:val="20"/>
              </w:rPr>
              <w:t>Loose surface and needs more microbial activity</w:t>
            </w:r>
          </w:p>
        </w:tc>
      </w:tr>
      <w:tr w:rsidR="00C400DA" w14:paraId="4B273C75" w14:textId="77777777" w:rsidTr="00C400DA">
        <w:tc>
          <w:tcPr>
            <w:cnfStyle w:val="001000000000" w:firstRow="0" w:lastRow="0" w:firstColumn="1" w:lastColumn="0" w:oddVBand="0" w:evenVBand="0" w:oddHBand="0" w:evenHBand="0" w:firstRowFirstColumn="0" w:firstRowLastColumn="0" w:lastRowFirstColumn="0" w:lastRowLastColumn="0"/>
            <w:tcW w:w="2547" w:type="dxa"/>
          </w:tcPr>
          <w:p w14:paraId="111DFC67" w14:textId="77777777" w:rsidR="00C400DA" w:rsidRPr="00E4258E" w:rsidRDefault="00C400DA" w:rsidP="00197B9E">
            <w:pPr>
              <w:spacing w:before="144" w:after="144"/>
              <w:rPr>
                <w:b w:val="0"/>
                <w:bCs/>
                <w:szCs w:val="20"/>
              </w:rPr>
            </w:pPr>
            <w:r w:rsidRPr="00E4258E">
              <w:rPr>
                <w:b w:val="0"/>
                <w:bCs/>
                <w:szCs w:val="20"/>
              </w:rPr>
              <w:t>1.5 – Stays mainly intact</w:t>
            </w:r>
          </w:p>
        </w:tc>
        <w:tc>
          <w:tcPr>
            <w:tcW w:w="3282" w:type="dxa"/>
          </w:tcPr>
          <w:p w14:paraId="4668B3D7" w14:textId="77777777" w:rsidR="00C400DA" w:rsidRPr="004C1213" w:rsidRDefault="00C400DA" w:rsidP="00197B9E">
            <w:pPr>
              <w:spacing w:before="144" w:after="144"/>
              <w:cnfStyle w:val="000000000000" w:firstRow="0" w:lastRow="0" w:firstColumn="0" w:lastColumn="0" w:oddVBand="0" w:evenVBand="0" w:oddHBand="0" w:evenHBand="0" w:firstRowFirstColumn="0" w:firstRowLastColumn="0" w:lastRowFirstColumn="0" w:lastRowLastColumn="0"/>
              <w:rPr>
                <w:szCs w:val="20"/>
              </w:rPr>
            </w:pPr>
            <w:r w:rsidRPr="004C1213">
              <w:rPr>
                <w:szCs w:val="20"/>
              </w:rPr>
              <w:t>Soil lump edges crumble slightly but remain largely intact</w:t>
            </w:r>
          </w:p>
        </w:tc>
        <w:tc>
          <w:tcPr>
            <w:tcW w:w="3187" w:type="dxa"/>
          </w:tcPr>
          <w:p w14:paraId="39C81054" w14:textId="77777777" w:rsidR="00C400DA" w:rsidRPr="004C1213" w:rsidRDefault="00C400DA" w:rsidP="00197B9E">
            <w:pPr>
              <w:spacing w:before="144" w:after="144"/>
              <w:cnfStyle w:val="000000000000" w:firstRow="0" w:lastRow="0" w:firstColumn="0" w:lastColumn="0" w:oddVBand="0" w:evenVBand="0" w:oddHBand="0" w:evenHBand="0" w:firstRowFirstColumn="0" w:firstRowLastColumn="0" w:lastRowFirstColumn="0" w:lastRowLastColumn="0"/>
              <w:rPr>
                <w:szCs w:val="20"/>
              </w:rPr>
            </w:pPr>
            <w:r w:rsidRPr="004C1213">
              <w:rPr>
                <w:szCs w:val="20"/>
              </w:rPr>
              <w:t>Good soil stability but could still be improved</w:t>
            </w:r>
          </w:p>
        </w:tc>
      </w:tr>
      <w:tr w:rsidR="00C400DA" w14:paraId="2E78B6CE" w14:textId="77777777" w:rsidTr="00C400DA">
        <w:tc>
          <w:tcPr>
            <w:cnfStyle w:val="001000000000" w:firstRow="0" w:lastRow="0" w:firstColumn="1" w:lastColumn="0" w:oddVBand="0" w:evenVBand="0" w:oddHBand="0" w:evenHBand="0" w:firstRowFirstColumn="0" w:firstRowLastColumn="0" w:lastRowFirstColumn="0" w:lastRowLastColumn="0"/>
            <w:tcW w:w="2547" w:type="dxa"/>
          </w:tcPr>
          <w:p w14:paraId="3B473B75" w14:textId="77777777" w:rsidR="00C400DA" w:rsidRPr="00E4258E" w:rsidRDefault="00C400DA" w:rsidP="00197B9E">
            <w:pPr>
              <w:spacing w:before="144" w:after="144"/>
              <w:rPr>
                <w:b w:val="0"/>
                <w:bCs/>
                <w:szCs w:val="20"/>
              </w:rPr>
            </w:pPr>
            <w:r w:rsidRPr="00E4258E">
              <w:rPr>
                <w:b w:val="0"/>
                <w:bCs/>
                <w:szCs w:val="20"/>
              </w:rPr>
              <w:t xml:space="preserve">2 – Soil </w:t>
            </w:r>
            <w:proofErr w:type="gramStart"/>
            <w:r w:rsidRPr="00E4258E">
              <w:rPr>
                <w:b w:val="0"/>
                <w:bCs/>
                <w:szCs w:val="20"/>
              </w:rPr>
              <w:t>lump</w:t>
            </w:r>
            <w:proofErr w:type="gramEnd"/>
            <w:r w:rsidRPr="00E4258E">
              <w:rPr>
                <w:b w:val="0"/>
                <w:bCs/>
                <w:szCs w:val="20"/>
              </w:rPr>
              <w:t xml:space="preserve"> intact</w:t>
            </w:r>
          </w:p>
        </w:tc>
        <w:tc>
          <w:tcPr>
            <w:tcW w:w="3282" w:type="dxa"/>
          </w:tcPr>
          <w:p w14:paraId="36C0C102" w14:textId="77777777" w:rsidR="00C400DA" w:rsidRPr="004C1213" w:rsidRDefault="00C400DA" w:rsidP="00197B9E">
            <w:pPr>
              <w:spacing w:before="144" w:after="144"/>
              <w:cnfStyle w:val="000000000000" w:firstRow="0" w:lastRow="0" w:firstColumn="0" w:lastColumn="0" w:oddVBand="0" w:evenVBand="0" w:oddHBand="0" w:evenHBand="0" w:firstRowFirstColumn="0" w:firstRowLastColumn="0" w:lastRowFirstColumn="0" w:lastRowLastColumn="0"/>
              <w:rPr>
                <w:szCs w:val="20"/>
              </w:rPr>
            </w:pPr>
            <w:r w:rsidRPr="004C1213">
              <w:rPr>
                <w:szCs w:val="20"/>
              </w:rPr>
              <w:t>Soil lump remains intact and water is clear</w:t>
            </w:r>
          </w:p>
        </w:tc>
        <w:tc>
          <w:tcPr>
            <w:tcW w:w="3187" w:type="dxa"/>
          </w:tcPr>
          <w:p w14:paraId="1BB94AD6" w14:textId="77777777" w:rsidR="00C400DA" w:rsidRPr="004C1213" w:rsidRDefault="00C400DA" w:rsidP="00197B9E">
            <w:pPr>
              <w:spacing w:before="144" w:after="144"/>
              <w:cnfStyle w:val="000000000000" w:firstRow="0" w:lastRow="0" w:firstColumn="0" w:lastColumn="0" w:oddVBand="0" w:evenVBand="0" w:oddHBand="0" w:evenHBand="0" w:firstRowFirstColumn="0" w:firstRowLastColumn="0" w:lastRowFirstColumn="0" w:lastRowLastColumn="0"/>
              <w:rPr>
                <w:szCs w:val="20"/>
              </w:rPr>
            </w:pPr>
            <w:r w:rsidRPr="004C1213">
              <w:rPr>
                <w:szCs w:val="20"/>
              </w:rPr>
              <w:t>Good aggregate stability</w:t>
            </w:r>
            <w:r>
              <w:rPr>
                <w:szCs w:val="20"/>
              </w:rPr>
              <w:t xml:space="preserve">, </w:t>
            </w:r>
            <w:r w:rsidRPr="004C1213">
              <w:rPr>
                <w:szCs w:val="20"/>
              </w:rPr>
              <w:t>continue to monitor</w:t>
            </w:r>
          </w:p>
        </w:tc>
      </w:tr>
    </w:tbl>
    <w:p w14:paraId="54C1B628" w14:textId="77777777" w:rsidR="00E4258E" w:rsidRDefault="00E4258E" w:rsidP="00C400DA"/>
    <w:p w14:paraId="1F5069C8" w14:textId="03893A05" w:rsidR="00E4258E" w:rsidRDefault="00E4258E" w:rsidP="00E4258E">
      <w:pPr>
        <w:pStyle w:val="Heading5"/>
      </w:pPr>
      <w:r>
        <w:t xml:space="preserve">How effective is </w:t>
      </w:r>
      <w:r w:rsidR="00102DD6">
        <w:t>a</w:t>
      </w:r>
      <w:r>
        <w:t xml:space="preserve">ggregate </w:t>
      </w:r>
      <w:r w:rsidR="00102DD6">
        <w:t>s</w:t>
      </w:r>
      <w:r>
        <w:t>tability as an early indicator to monitor changes in soil health?</w:t>
      </w:r>
    </w:p>
    <w:p w14:paraId="6AF6E1FD" w14:textId="77777777" w:rsidR="00E4258E" w:rsidRDefault="00E4258E" w:rsidP="00E4258E">
      <w:proofErr w:type="gramStart"/>
      <w:r>
        <w:t>A number of</w:t>
      </w:r>
      <w:proofErr w:type="gramEnd"/>
      <w:r>
        <w:t xml:space="preserve"> indicators have been recently reviewed and scored for strength of the evidence linking them to ecosystem services and as early indicators of changes in soil health. Aggregate stability was a strong candidate with a particularly high score for food, biomass and fibre production, as well as nutrient cycling (N, P and K). It also scored reasonably highly for sensitivity to management change. There is a large body of evidence linking aggregate stability to soil health which provides a high degree of confidence that it is a useful soil property to monitor, with direct links to good soil health and functioning.</w:t>
      </w:r>
    </w:p>
    <w:p w14:paraId="1C4899ED" w14:textId="01B74667" w:rsidR="00E4258E" w:rsidRDefault="00E4258E" w:rsidP="00E4258E">
      <w:r>
        <w:t xml:space="preserve">Some gaps in evidence were identified, specifically relating to the sensitivity to initial soil moisture in the aggregate tested and the role of soil texture in aggregate stability, </w:t>
      </w:r>
      <w:r w:rsidR="00FA2B79">
        <w:t>e.g.</w:t>
      </w:r>
      <w:r>
        <w:t xml:space="preserve"> sandy soils are inherently less able to form stable aggregates due to their large particle size and pore spaces coupled with typically lower organic matter to hold aggregates together. </w:t>
      </w:r>
    </w:p>
    <w:p w14:paraId="2845EC0C" w14:textId="16F575C6" w:rsidR="00E4258E" w:rsidRDefault="00102DD6" w:rsidP="00E4258E">
      <w:pPr>
        <w:pStyle w:val="Heading5"/>
      </w:pPr>
      <w:r>
        <w:t>R</w:t>
      </w:r>
      <w:r w:rsidR="00E4258E">
        <w:t>ecommendation</w:t>
      </w:r>
    </w:p>
    <w:p w14:paraId="693254E6" w14:textId="77777777" w:rsidR="00E4258E" w:rsidRDefault="00E4258E" w:rsidP="00E4258E">
      <w:r>
        <w:t>Assessing aggregate stability using the slake test is a simple, quick method that could be done on the farm to provide an early indication of a change in soil health due to a recent change in management. The costs for slake testing are minimal (the Slakes app is free and Soil mentor has an annual subscription). As a farmer-led assessment, proficiency and efficiency in sample collection and processing should build with regular use of the test. Routine slake testing on the farm focused on areas known to be “healthy” compared to areas with degraded soil structure will also build the practitioner’s confidence and skill in interpreting the results and developing understanding of what “good” looks like for slake scores within their farm’s environment.</w:t>
      </w:r>
    </w:p>
    <w:p w14:paraId="40BA1495" w14:textId="059FE290" w:rsidR="00E4258E" w:rsidRDefault="00504C42" w:rsidP="00E4258E">
      <w:pPr>
        <w:pStyle w:val="Heading5"/>
      </w:pPr>
      <w:r>
        <w:lastRenderedPageBreak/>
        <w:t>Active carbon factsheet r</w:t>
      </w:r>
      <w:r w:rsidR="00E4258E">
        <w:t>eferences</w:t>
      </w:r>
    </w:p>
    <w:p w14:paraId="3DB46F1F" w14:textId="77777777" w:rsidR="00E4258E" w:rsidRDefault="00E4258E" w:rsidP="00E4258E">
      <w:r>
        <w:t xml:space="preserve">Flynn, KD, Bagnall, DK, Morgan, CLS. (2020). Evaluation of SLAKES, a smartphone application for quantifying aggregate stability, in high-clay soils. Soil Science Society of America Journal, 84(2), 345–353. https://doi.org/10.1002/saj2.20012 </w:t>
      </w:r>
    </w:p>
    <w:p w14:paraId="4E17CDAE" w14:textId="77777777" w:rsidR="00E4258E" w:rsidRDefault="00E4258E" w:rsidP="00E4258E">
      <w:r w:rsidRPr="00D943D4">
        <w:rPr>
          <w:lang w:val="pt-BR"/>
        </w:rPr>
        <w:t xml:space="preserve">Trybek, M, Algarin, CAV, Grande, LHQ, Sebim, JPM, Canisares, LP, Morgan, CLS, Cerri, CEP, Cherubin, M R. (2026). </w:t>
      </w:r>
      <w:r>
        <w:t>Aggregate stability measurements of tropical soils under conservation agriculture using the Slakes smartphone app. Soil and Tillage Research, 257, 106984. https://doi.org/10.1016/j.still.2025.106984</w:t>
      </w:r>
    </w:p>
    <w:p w14:paraId="023A68C0" w14:textId="53844846" w:rsidR="00E4258E" w:rsidRDefault="00E4258E" w:rsidP="00E4258E">
      <w:pPr>
        <w:pStyle w:val="Heading5"/>
      </w:pPr>
      <w:r>
        <w:t xml:space="preserve">Further </w:t>
      </w:r>
      <w:r w:rsidR="00504C42">
        <w:t>r</w:t>
      </w:r>
      <w:r>
        <w:t>eading</w:t>
      </w:r>
    </w:p>
    <w:p w14:paraId="1BBB2618" w14:textId="77777777" w:rsidR="00FA2B79" w:rsidRDefault="00E4258E" w:rsidP="00E4258E">
      <w:r>
        <w:t xml:space="preserve">http://nmsp.cals.cornell.edu/publications/factsheets/factsheet95.pdf </w:t>
      </w:r>
    </w:p>
    <w:p w14:paraId="69971642" w14:textId="77777777" w:rsidR="00FA2B79" w:rsidRDefault="00FA2B79" w:rsidP="00E4258E">
      <w:r>
        <w:br w:type="page"/>
      </w:r>
    </w:p>
    <w:p w14:paraId="3C845E19" w14:textId="032CD293" w:rsidR="00B918E5" w:rsidRPr="003B4920" w:rsidRDefault="004A5456" w:rsidP="00E4258E">
      <w:r w:rsidRPr="003B4920">
        <w:rPr>
          <w:noProof/>
        </w:rPr>
        <w:lastRenderedPageBreak/>
        <mc:AlternateContent>
          <mc:Choice Requires="wps">
            <w:drawing>
              <wp:anchor distT="0" distB="0" distL="114300" distR="114300" simplePos="0" relativeHeight="251658246" behindDoc="0" locked="0" layoutInCell="1" allowOverlap="1" wp14:anchorId="534C1000" wp14:editId="7D79659E">
                <wp:simplePos x="0" y="0"/>
                <wp:positionH relativeFrom="column">
                  <wp:posOffset>-337952</wp:posOffset>
                </wp:positionH>
                <wp:positionV relativeFrom="paragraph">
                  <wp:posOffset>6371838</wp:posOffset>
                </wp:positionV>
                <wp:extent cx="5055255" cy="2423472"/>
                <wp:effectExtent l="0" t="0" r="0" b="2540"/>
                <wp:wrapNone/>
                <wp:docPr id="436123069" name="Text Box 1"/>
                <wp:cNvGraphicFramePr/>
                <a:graphic xmlns:a="http://schemas.openxmlformats.org/drawingml/2006/main">
                  <a:graphicData uri="http://schemas.microsoft.com/office/word/2010/wordprocessingShape">
                    <wps:wsp>
                      <wps:cNvSpPr txBox="1"/>
                      <wps:spPr>
                        <a:xfrm>
                          <a:off x="0" y="0"/>
                          <a:ext cx="5055255" cy="2423472"/>
                        </a:xfrm>
                        <a:prstGeom prst="rect">
                          <a:avLst/>
                        </a:prstGeom>
                        <a:solidFill>
                          <a:schemeClr val="bg1"/>
                        </a:solidFill>
                        <a:ln w="6350">
                          <a:noFill/>
                        </a:ln>
                      </wps:spPr>
                      <wps:txbx>
                        <w:txbxContent>
                          <w:p w14:paraId="0DABF8A6" w14:textId="77777777" w:rsidR="004A5456" w:rsidRPr="00E4258E" w:rsidRDefault="004A5456" w:rsidP="004A5456">
                            <w:pPr>
                              <w:pStyle w:val="Cover-3bodytext"/>
                              <w:rPr>
                                <w:color w:val="005292"/>
                              </w:rPr>
                            </w:pPr>
                            <w:r w:rsidRPr="00E4258E">
                              <w:rPr>
                                <w:color w:val="005292"/>
                              </w:rPr>
                              <w:t xml:space="preserve">AHDB is the independent, impartial public body that unlocks success in British agriculture. Funded by a levy from British farmers, growers and processors, we’re behind the invaluable research and reports, domestic marketing campaigns and global export opportunities that help British farming thrive. Together, we deliver the insights, the influence and the impact that farmers need. For more information, visit </w:t>
                            </w:r>
                            <w:hyperlink r:id="rId59" w:tgtFrame="_blank" w:tooltip="http://ahdb.org.uk/" w:history="1">
                              <w:r w:rsidRPr="00E4258E">
                                <w:rPr>
                                  <w:color w:val="005292"/>
                                </w:rPr>
                                <w:t>ahdb.org.uk</w:t>
                              </w:r>
                            </w:hyperlink>
                          </w:p>
                          <w:p w14:paraId="196EA377" w14:textId="77777777" w:rsidR="004A5456" w:rsidRPr="003B4920" w:rsidRDefault="004A5456" w:rsidP="004A5456">
                            <w:pPr>
                              <w:pStyle w:val="Cover-3bodytext"/>
                              <w:rPr>
                                <w:color w:val="005292"/>
                              </w:rPr>
                            </w:pPr>
                            <w:r w:rsidRPr="003B4920">
                              <w:rPr>
                                <w:color w:val="005292"/>
                              </w:rPr>
                              <w:t>While the Agriculture and Horticulture Development Board seeks to ensure that the information contained within this document is accurate at the time of printing, no warranty is given in respect thereof and, to the maximum extent permitted by law, the Agriculture and Horticulture Development Board accepts no liability for loss, damage or injury howsoever caused (including that caused by negligence) or suffered directly or indirectly in relation to information and opinions contained in or omitted from this document.</w:t>
                            </w:r>
                          </w:p>
                          <w:p w14:paraId="4481D7AF" w14:textId="77777777" w:rsidR="004A5456" w:rsidRPr="003B4920" w:rsidRDefault="004A5456" w:rsidP="004A5456">
                            <w:pPr>
                              <w:pStyle w:val="Cover-3bodytext"/>
                              <w:rPr>
                                <w:color w:val="005292"/>
                              </w:rPr>
                            </w:pPr>
                            <w:r w:rsidRPr="003B4920">
                              <w:rPr>
                                <w:color w:val="005292"/>
                              </w:rPr>
                              <w:t> © Agriculture and Horticulture Development Board 2026. All rights 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C1000" id="Text Box 1" o:spid="_x0000_s1041" type="#_x0000_t202" style="position:absolute;margin-left:-26.6pt;margin-top:501.7pt;width:398.05pt;height:190.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" fillcolor="white [3212]" stroked="f" strokeweight=".5pt">
                <v:textbox>
                  <w:txbxContent>
                    <w:p w14:paraId="0DABF8A6" w14:textId="77777777" w:rsidR="004A5456" w:rsidRPr="00E4258E" w:rsidRDefault="004A5456" w:rsidP="004A5456">
                      <w:pPr>
                        <w:pStyle w:val="Cover-3bodytext"/>
                        <w:rPr>
                          <w:color w:val="005292"/>
                        </w:rPr>
                      </w:pPr>
                      <w:r w:rsidRPr="00E4258E">
                        <w:rPr>
                          <w:color w:val="005292"/>
                        </w:rPr>
                        <w:t xml:space="preserve">AHDB is the independent, impartial public body that unlocks success in British agriculture. Funded by a levy from British farmers, growers and processors, we’re behind the invaluable research and reports, domestic marketing campaigns and global export opportunities that help British farming thrive. Together, we deliver the insights, the influence and the impact that farmers need. For more information, visit </w:t>
                      </w:r>
                      <w:hyperlink r:id="rId60" w:tgtFrame="_blank" w:tooltip="http://ahdb.org.uk/" w:history="1">
                        <w:r w:rsidRPr="00E4258E">
                          <w:rPr>
                            <w:color w:val="005292"/>
                          </w:rPr>
                          <w:t>ahdb.org.uk</w:t>
                        </w:r>
                      </w:hyperlink>
                    </w:p>
                    <w:p w14:paraId="196EA377" w14:textId="77777777" w:rsidR="004A5456" w:rsidRPr="003B4920" w:rsidRDefault="004A5456" w:rsidP="004A5456">
                      <w:pPr>
                        <w:pStyle w:val="Cover-3bodytext"/>
                        <w:rPr>
                          <w:color w:val="005292"/>
                        </w:rPr>
                      </w:pPr>
                      <w:r w:rsidRPr="003B4920">
                        <w:rPr>
                          <w:color w:val="005292"/>
                        </w:rPr>
                        <w:t>While the Agriculture and Horticulture Development Board seeks to ensure that the information contained within this document is accurate at the time of printing, no warranty is given in respect thereof and, to the maximum extent permitted by law, the Agriculture and Horticulture Development Board accepts no liability for loss, damage or injury howsoever caused (including that caused by negligence) or suffered directly or indirectly in relation to information and opinions contained in or omitted from this document.</w:t>
                      </w:r>
                    </w:p>
                    <w:p w14:paraId="4481D7AF" w14:textId="77777777" w:rsidR="004A5456" w:rsidRPr="003B4920" w:rsidRDefault="004A5456" w:rsidP="004A5456">
                      <w:pPr>
                        <w:pStyle w:val="Cover-3bodytext"/>
                        <w:rPr>
                          <w:color w:val="005292"/>
                        </w:rPr>
                      </w:pPr>
                      <w:r w:rsidRPr="003B4920">
                        <w:rPr>
                          <w:color w:val="005292"/>
                        </w:rPr>
                        <w:t> © Agriculture and Horticulture Development Board 2026. All rights reserved.</w:t>
                      </w:r>
                    </w:p>
                  </w:txbxContent>
                </v:textbox>
              </v:shape>
            </w:pict>
          </mc:Fallback>
        </mc:AlternateContent>
      </w:r>
    </w:p>
    <w:sectPr w:rsidR="00B918E5" w:rsidRPr="003B4920" w:rsidSect="00A635D2">
      <w:pgSz w:w="11906" w:h="16838"/>
      <w:pgMar w:top="1418"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28553" w14:textId="77777777" w:rsidR="00E4112B" w:rsidRPr="006B68E1" w:rsidRDefault="00E4112B" w:rsidP="00F86FBC">
      <w:r w:rsidRPr="006B68E1">
        <w:separator/>
      </w:r>
    </w:p>
    <w:p w14:paraId="22F1BBF6" w14:textId="77777777" w:rsidR="00E4112B" w:rsidRDefault="00E4112B"/>
    <w:p w14:paraId="2EC49B1E" w14:textId="77777777" w:rsidR="00E4112B" w:rsidRDefault="00E4112B"/>
    <w:p w14:paraId="477FA411" w14:textId="77777777" w:rsidR="00E4112B" w:rsidRDefault="00E4112B"/>
  </w:endnote>
  <w:endnote w:type="continuationSeparator" w:id="0">
    <w:p w14:paraId="736E84A0" w14:textId="77777777" w:rsidR="00E4112B" w:rsidRPr="006B68E1" w:rsidRDefault="00E4112B" w:rsidP="00F86FBC">
      <w:r w:rsidRPr="006B68E1">
        <w:continuationSeparator/>
      </w:r>
    </w:p>
    <w:p w14:paraId="71E2D05A" w14:textId="77777777" w:rsidR="00E4112B" w:rsidRDefault="00E4112B"/>
    <w:p w14:paraId="256011FF" w14:textId="77777777" w:rsidR="00E4112B" w:rsidRDefault="00E4112B"/>
    <w:p w14:paraId="719F1C81" w14:textId="77777777" w:rsidR="00E4112B" w:rsidRDefault="00E4112B"/>
  </w:endnote>
  <w:endnote w:type="continuationNotice" w:id="1">
    <w:p w14:paraId="533EE3EC" w14:textId="77777777" w:rsidR="00E4112B" w:rsidRPr="006B68E1" w:rsidRDefault="00E4112B">
      <w:pPr>
        <w:spacing w:after="0" w:line="240" w:lineRule="auto"/>
      </w:pPr>
    </w:p>
    <w:p w14:paraId="2EBAA583" w14:textId="77777777" w:rsidR="00E4112B" w:rsidRDefault="00E4112B"/>
    <w:p w14:paraId="496C4C5C" w14:textId="77777777" w:rsidR="00E4112B" w:rsidRDefault="00E4112B"/>
    <w:p w14:paraId="5ABA40FC" w14:textId="77777777" w:rsidR="00E4112B" w:rsidRDefault="00E411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dy CS)">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rial (Headings CS)">
    <w:altName w:val="Arial"/>
    <w:charset w:val="00"/>
    <w:family w:val="roman"/>
    <w:pitch w:val="default"/>
  </w:font>
  <w:font w:name="+mn-ea">
    <w:charset w:val="00"/>
    <w:family w:val="roman"/>
    <w:pitch w:val="default"/>
  </w:font>
  <w:font w:name="+mn-cs">
    <w:altName w:val="Cambria"/>
    <w:charset w:val="00"/>
    <w:family w:val="roman"/>
    <w:pitch w:val="default"/>
  </w:font>
  <w:font w:name="Ubuntu Light">
    <w:altName w:val="Ubuntu Medium"/>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859320"/>
      <w:docPartObj>
        <w:docPartGallery w:val="Page Numbers (Bottom of Page)"/>
        <w:docPartUnique/>
      </w:docPartObj>
    </w:sdtPr>
    <w:sdtEndPr/>
    <w:sdtContent>
      <w:p w14:paraId="422ABAF2" w14:textId="77777777" w:rsidR="00406CF2" w:rsidRDefault="00406CF2" w:rsidP="00B50437">
        <w:pPr>
          <w:pStyle w:val="Footer"/>
        </w:pPr>
        <w:r>
          <w:fldChar w:fldCharType="begin"/>
        </w:r>
        <w:r>
          <w:instrText xml:space="preserve"> PAGE </w:instrText>
        </w:r>
        <w:r>
          <w:fldChar w:fldCharType="end"/>
        </w:r>
      </w:p>
    </w:sdtContent>
  </w:sdt>
  <w:p w14:paraId="7C52B7C5" w14:textId="77777777" w:rsidR="00406CF2" w:rsidRDefault="00406CF2" w:rsidP="00B504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6197" w:themeColor="text1" w:themeShade="BF"/>
      </w:rPr>
      <w:id w:val="1033774456"/>
      <w:docPartObj>
        <w:docPartGallery w:val="Page Numbers (Bottom of Page)"/>
        <w:docPartUnique/>
      </w:docPartObj>
    </w:sdtPr>
    <w:sdtEndPr>
      <w:rPr>
        <w:color w:val="006197" w:themeColor="accent1" w:themeShade="BF"/>
      </w:rPr>
    </w:sdtEndPr>
    <w:sdtContent>
      <w:p w14:paraId="7DFA733E" w14:textId="77777777" w:rsidR="00A307EC" w:rsidRPr="00E4258E" w:rsidRDefault="00406CF2" w:rsidP="00AA2A7D">
        <w:pPr>
          <w:pStyle w:val="Pagenumbering"/>
          <w:rPr>
            <w:color w:val="006197" w:themeColor="text1" w:themeShade="BF"/>
          </w:rPr>
        </w:pPr>
        <w:r w:rsidRPr="00E4258E">
          <w:rPr>
            <w:color w:val="006197" w:themeColor="text1" w:themeShade="BF"/>
          </w:rPr>
          <w:fldChar w:fldCharType="begin"/>
        </w:r>
        <w:r w:rsidRPr="00E4258E">
          <w:rPr>
            <w:color w:val="006197" w:themeColor="text1" w:themeShade="BF"/>
          </w:rPr>
          <w:instrText xml:space="preserve"> PAGE </w:instrText>
        </w:r>
        <w:r w:rsidRPr="00E4258E">
          <w:rPr>
            <w:color w:val="006197" w:themeColor="text1" w:themeShade="BF"/>
          </w:rPr>
          <w:fldChar w:fldCharType="separate"/>
        </w:r>
        <w:r w:rsidRPr="00E4258E">
          <w:rPr>
            <w:color w:val="006197" w:themeColor="text1" w:themeShade="BF"/>
          </w:rPr>
          <w:t>50</w:t>
        </w:r>
        <w:r w:rsidRPr="00E4258E">
          <w:rPr>
            <w:color w:val="006197" w:themeColor="text1" w:themeShade="B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67A8C" w14:textId="77777777" w:rsidR="00A37DD5" w:rsidRDefault="00A37DD5" w:rsidP="00B50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B17B4" w14:textId="77777777" w:rsidR="00E4112B" w:rsidRDefault="00E4112B">
      <w:r w:rsidRPr="006B68E1">
        <w:separator/>
      </w:r>
    </w:p>
  </w:footnote>
  <w:footnote w:type="continuationSeparator" w:id="0">
    <w:p w14:paraId="40823EFA" w14:textId="77777777" w:rsidR="00E4112B" w:rsidRPr="006B68E1" w:rsidRDefault="00E4112B" w:rsidP="00F86FBC">
      <w:r w:rsidRPr="006B68E1">
        <w:continuationSeparator/>
      </w:r>
    </w:p>
  </w:footnote>
  <w:footnote w:type="continuationNotice" w:id="1">
    <w:p w14:paraId="03A68AF6" w14:textId="77777777" w:rsidR="00E4112B" w:rsidRPr="006B68E1" w:rsidRDefault="00E4112B">
      <w:pPr>
        <w:spacing w:after="0" w:line="240" w:lineRule="auto"/>
      </w:pPr>
    </w:p>
    <w:p w14:paraId="272DA13D" w14:textId="77777777" w:rsidR="00E4112B" w:rsidRDefault="00E4112B"/>
    <w:p w14:paraId="1C8F5889" w14:textId="77777777" w:rsidR="00E4112B" w:rsidRDefault="00E4112B"/>
    <w:p w14:paraId="42443C29" w14:textId="77777777" w:rsidR="00E4112B" w:rsidRDefault="00E4112B"/>
  </w:footnote>
  <w:footnote w:id="2">
    <w:p w14:paraId="3BC65C2F" w14:textId="163C2F87" w:rsidR="003F0CCD" w:rsidRDefault="003F0CCD">
      <w:pPr>
        <w:pStyle w:val="FootnoteText"/>
      </w:pPr>
      <w:r>
        <w:rPr>
          <w:rStyle w:val="FootnoteReference"/>
        </w:rPr>
        <w:footnoteRef/>
      </w:r>
      <w:r>
        <w:t xml:space="preserve"> The IRG consisted of representatives from: </w:t>
      </w:r>
      <w:r w:rsidRPr="00436B8A">
        <w:t>Eurofins (Arjan Reijneveld)</w:t>
      </w:r>
      <w:r>
        <w:t xml:space="preserve">, </w:t>
      </w:r>
      <w:r w:rsidRPr="00436B8A">
        <w:t>Verdant Carbon (Dave Gollins)</w:t>
      </w:r>
      <w:r>
        <w:t xml:space="preserve">, </w:t>
      </w:r>
      <w:r w:rsidRPr="00436B8A">
        <w:t>Hillcourt (Mechteld Blake-Kalff)</w:t>
      </w:r>
      <w:r>
        <w:t xml:space="preserve">, </w:t>
      </w:r>
      <w:r w:rsidRPr="00436B8A">
        <w:t>Frontier (Ed Downing, Simon Griffin)</w:t>
      </w:r>
      <w:r>
        <w:t xml:space="preserve">, </w:t>
      </w:r>
      <w:r w:rsidRPr="00436B8A">
        <w:t>ADAS (Ann</w:t>
      </w:r>
      <w:r>
        <w:t>e</w:t>
      </w:r>
      <w:r w:rsidRPr="00436B8A">
        <w:t xml:space="preserve"> Bhogal, Pete Berry)</w:t>
      </w:r>
      <w:r>
        <w:t xml:space="preserve">, </w:t>
      </w:r>
      <w:r w:rsidRPr="00436B8A">
        <w:t>SRUC (Christine Watson)</w:t>
      </w:r>
    </w:p>
  </w:footnote>
  <w:footnote w:id="3">
    <w:p w14:paraId="7DCE9D26" w14:textId="2C447280" w:rsidR="002B652E" w:rsidRDefault="002B652E">
      <w:pPr>
        <w:pStyle w:val="FootnoteText"/>
      </w:pPr>
      <w:r>
        <w:rPr>
          <w:rStyle w:val="FootnoteReference"/>
        </w:rPr>
        <w:footnoteRef/>
      </w:r>
      <w:r>
        <w:t xml:space="preserve"> </w:t>
      </w:r>
      <w:r w:rsidRPr="00487754">
        <w:t xml:space="preserve">OpenAI. (2026). </w:t>
      </w:r>
      <w:r w:rsidRPr="00487754">
        <w:rPr>
          <w:i/>
          <w:iCs/>
        </w:rPr>
        <w:t>ChatGPT (GPT-5.3)</w:t>
      </w:r>
      <w:r w:rsidRPr="00487754">
        <w:t xml:space="preserve"> [Large language model]. </w:t>
      </w:r>
      <w:hyperlink r:id="rId1" w:tgtFrame="_new" w:history="1">
        <w:r w:rsidRPr="00AB0486">
          <w:rPr>
            <w:rStyle w:val="Normal-hyperlink-boldChar"/>
          </w:rPr>
          <w:t>https://chat.openai.com</w:t>
        </w:r>
      </w:hyperlink>
    </w:p>
  </w:footnote>
  <w:footnote w:id="4">
    <w:p w14:paraId="14D76CA1" w14:textId="54622CA5" w:rsidR="00DF197A" w:rsidRDefault="00DF197A">
      <w:pPr>
        <w:pStyle w:val="FootnoteText"/>
      </w:pPr>
      <w:r>
        <w:rPr>
          <w:rStyle w:val="FootnoteReference"/>
        </w:rPr>
        <w:footnoteRef/>
      </w:r>
      <w:r>
        <w:t xml:space="preserve"> Preferred methods were: POXC for active carbon, shovelomics for crop rooting</w:t>
      </w:r>
      <w:r w:rsidR="000739E6">
        <w:t>,</w:t>
      </w:r>
      <w:r>
        <w:t xml:space="preserve"> and wet sieving in a laboratory for aggregate stability; PMN is a standardised method so datasets were only recorded for this indicator if they used anaerobic incubation.</w:t>
      </w:r>
    </w:p>
  </w:footnote>
  <w:footnote w:id="5">
    <w:p w14:paraId="341AC559" w14:textId="77777777" w:rsidR="00133BF8" w:rsidRDefault="00133BF8" w:rsidP="00133BF8">
      <w:pPr>
        <w:pStyle w:val="FootnoteText"/>
      </w:pPr>
      <w:r>
        <w:rPr>
          <w:rStyle w:val="FootnoteReference"/>
        </w:rPr>
        <w:footnoteRef/>
      </w:r>
      <w:r>
        <w:t xml:space="preserve"> </w:t>
      </w:r>
      <w:r w:rsidRPr="00C47EEE">
        <w:t>A weighted average was calculated</w:t>
      </w:r>
      <w:r>
        <w:t>. For active carbon and crop rooting scores, for the preferred method (POXC and shovelomics respectively) were assigned a</w:t>
      </w:r>
      <w:r w:rsidRPr="00C47EEE">
        <w:t xml:space="preserve"> weight of 0.6 </w:t>
      </w:r>
      <w:r>
        <w:t xml:space="preserve">and any alternate method was assigned a weight of 0.4. For aggregate stability, wet sieving was assigned a weight of 0.6, slake test was assigned a weight of 0.2 and any other method was assigned a weight of 0.2. </w:t>
      </w:r>
    </w:p>
  </w:footnote>
  <w:footnote w:id="6">
    <w:p w14:paraId="525126BC" w14:textId="34C44983" w:rsidR="00F26C20" w:rsidRDefault="00DF3A45" w:rsidP="00F26C20">
      <w:pPr>
        <w:pStyle w:val="FootnoteText"/>
      </w:pPr>
      <w:r>
        <w:rPr>
          <w:rStyle w:val="FootnoteReference"/>
        </w:rPr>
        <w:t>5</w:t>
      </w:r>
      <w:r>
        <w:t xml:space="preserve"> </w:t>
      </w:r>
      <w:r w:rsidR="00F26C20" w:rsidRPr="00487754">
        <w:t xml:space="preserve">OpenAI. (2026). </w:t>
      </w:r>
      <w:r w:rsidR="00F26C20" w:rsidRPr="00487754">
        <w:rPr>
          <w:i/>
          <w:iCs/>
        </w:rPr>
        <w:t>ChatGPT (GPT-5.3)</w:t>
      </w:r>
      <w:r w:rsidR="00F26C20" w:rsidRPr="00487754">
        <w:t xml:space="preserve"> [Large language model]. </w:t>
      </w:r>
      <w:hyperlink r:id="rId2" w:tgtFrame="_new" w:history="1">
        <w:r w:rsidR="00F26C20" w:rsidRPr="00F940A6">
          <w:rPr>
            <w:rStyle w:val="Normal-hyperlink-boldChar"/>
          </w:rPr>
          <w:t>https://chat.openai.com</w:t>
        </w:r>
      </w:hyperlink>
    </w:p>
  </w:footnote>
  <w:footnote w:id="7">
    <w:p w14:paraId="5497DEAC" w14:textId="171A2E8A" w:rsidR="00F041A1" w:rsidRDefault="00440BED" w:rsidP="00F041A1">
      <w:pPr>
        <w:pStyle w:val="FootnoteText"/>
      </w:pPr>
      <w:r>
        <w:rPr>
          <w:rStyle w:val="FootnoteReference"/>
        </w:rPr>
        <w:t>6</w:t>
      </w:r>
      <w:r>
        <w:t xml:space="preserve"> </w:t>
      </w:r>
      <w:r w:rsidR="00F041A1">
        <w:t>Ranks of criteria for each respondent were converted to weighted scores by</w:t>
      </w:r>
      <w:r w:rsidR="00F041A1" w:rsidRPr="00C30E86">
        <w:t xml:space="preserve"> assigning decreasing weights to ranks (1st = 6 to 6th = 1) and summing across all responses.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FFD7C" w14:textId="3AF42B4D" w:rsidR="00360E5A" w:rsidRDefault="00360E5A">
    <w:pPr>
      <w:pStyle w:val="Header"/>
    </w:pPr>
    <w:r>
      <w:rPr>
        <w:noProof/>
      </w:rPr>
      <mc:AlternateContent>
        <mc:Choice Requires="wps">
          <w:drawing>
            <wp:anchor distT="0" distB="0" distL="0" distR="0" simplePos="0" relativeHeight="251658242" behindDoc="0" locked="0" layoutInCell="1" allowOverlap="1" wp14:anchorId="442DF51A" wp14:editId="443FABEA">
              <wp:simplePos x="635" y="635"/>
              <wp:positionH relativeFrom="page">
                <wp:align>center</wp:align>
              </wp:positionH>
              <wp:positionV relativeFrom="page">
                <wp:align>top</wp:align>
              </wp:positionV>
              <wp:extent cx="622300" cy="432435"/>
              <wp:effectExtent l="0" t="0" r="6350" b="5715"/>
              <wp:wrapNone/>
              <wp:docPr id="5149673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32435"/>
                      </a:xfrm>
                      <a:prstGeom prst="rect">
                        <a:avLst/>
                      </a:prstGeom>
                      <a:noFill/>
                      <a:ln>
                        <a:noFill/>
                      </a:ln>
                    </wps:spPr>
                    <wps:txbx>
                      <w:txbxContent>
                        <w:p w14:paraId="5328748E" w14:textId="520C55FC" w:rsidR="00360E5A" w:rsidRPr="00360E5A" w:rsidRDefault="00360E5A" w:rsidP="00360E5A">
                          <w:pPr>
                            <w:spacing w:after="0"/>
                            <w:rPr>
                              <w:rFonts w:ascii="Aptos" w:eastAsia="Aptos" w:hAnsi="Aptos" w:cs="Aptos"/>
                              <w:noProof/>
                              <w:color w:val="000000"/>
                              <w:sz w:val="24"/>
                            </w:rPr>
                          </w:pPr>
                          <w:r w:rsidRPr="00360E5A">
                            <w:rPr>
                              <w:rFonts w:ascii="Aptos" w:eastAsia="Aptos" w:hAnsi="Aptos" w:cs="Aptos"/>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2DF51A" id="_x0000_t202" coordsize="21600,21600" o:spt="202" path="m,l,21600r21600,l21600,xe">
              <v:stroke joinstyle="miter"/>
              <v:path gradientshapeok="t" o:connecttype="rect"/>
            </v:shapetype>
            <v:shape id="_x0000_s1042" type="#_x0000_t202" alt="OFFICIAL" style="position:absolute;margin-left:0;margin-top:0;width:49pt;height:34.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" filled="f" stroked="f">
              <v:textbox style="mso-fit-shape-to-text:t" inset="0,15pt,0,0">
                <w:txbxContent>
                  <w:p w14:paraId="5328748E" w14:textId="520C55FC" w:rsidR="00360E5A" w:rsidRPr="00360E5A" w:rsidRDefault="00360E5A" w:rsidP="00360E5A">
                    <w:pPr>
                      <w:spacing w:after="0"/>
                      <w:rPr>
                        <w:rFonts w:ascii="Aptos" w:eastAsia="Aptos" w:hAnsi="Aptos" w:cs="Aptos"/>
                        <w:noProof/>
                        <w:color w:val="000000"/>
                        <w:sz w:val="24"/>
                      </w:rPr>
                    </w:pPr>
                    <w:r w:rsidRPr="00360E5A">
                      <w:rPr>
                        <w:rFonts w:ascii="Aptos" w:eastAsia="Aptos" w:hAnsi="Aptos" w:cs="Aptos"/>
                        <w:noProof/>
                        <w:color w:val="00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C47D3" w14:textId="470E9EAA" w:rsidR="00360E5A" w:rsidRDefault="00360E5A">
    <w:pPr>
      <w:pStyle w:val="Header"/>
    </w:pPr>
    <w:r>
      <w:rPr>
        <w:noProof/>
      </w:rPr>
      <mc:AlternateContent>
        <mc:Choice Requires="wps">
          <w:drawing>
            <wp:anchor distT="0" distB="0" distL="0" distR="0" simplePos="0" relativeHeight="251658243" behindDoc="0" locked="0" layoutInCell="1" allowOverlap="1" wp14:anchorId="16E9BAE0" wp14:editId="49ED8EB2">
              <wp:simplePos x="635" y="635"/>
              <wp:positionH relativeFrom="page">
                <wp:align>center</wp:align>
              </wp:positionH>
              <wp:positionV relativeFrom="page">
                <wp:align>top</wp:align>
              </wp:positionV>
              <wp:extent cx="622300" cy="432435"/>
              <wp:effectExtent l="0" t="0" r="6350" b="5715"/>
              <wp:wrapNone/>
              <wp:docPr id="13512581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32435"/>
                      </a:xfrm>
                      <a:prstGeom prst="rect">
                        <a:avLst/>
                      </a:prstGeom>
                      <a:noFill/>
                      <a:ln>
                        <a:noFill/>
                      </a:ln>
                    </wps:spPr>
                    <wps:txbx>
                      <w:txbxContent>
                        <w:p w14:paraId="3EE9B709" w14:textId="271FB0E2" w:rsidR="00360E5A" w:rsidRPr="00360E5A" w:rsidRDefault="00360E5A" w:rsidP="00360E5A">
                          <w:pPr>
                            <w:spacing w:after="0"/>
                            <w:rPr>
                              <w:rFonts w:ascii="Aptos" w:eastAsia="Aptos" w:hAnsi="Aptos" w:cs="Aptos"/>
                              <w:noProof/>
                              <w:color w:val="000000"/>
                              <w:sz w:val="24"/>
                            </w:rPr>
                          </w:pPr>
                          <w:r w:rsidRPr="00360E5A">
                            <w:rPr>
                              <w:rFonts w:ascii="Aptos" w:eastAsia="Aptos" w:hAnsi="Aptos" w:cs="Aptos"/>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E9BAE0" id="_x0000_t202" coordsize="21600,21600" o:spt="202" path="m,l,21600r21600,l21600,xe">
              <v:stroke joinstyle="miter"/>
              <v:path gradientshapeok="t" o:connecttype="rect"/>
            </v:shapetype>
            <v:shape id="Text Box 3" o:spid="_x0000_s1043" type="#_x0000_t202" alt="OFFICIAL" style="position:absolute;margin-left:0;margin-top:0;width:49pt;height:34.0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" filled="f" stroked="f">
              <v:textbox style="mso-fit-shape-to-text:t" inset="0,15pt,0,0">
                <w:txbxContent>
                  <w:p w14:paraId="3EE9B709" w14:textId="271FB0E2" w:rsidR="00360E5A" w:rsidRPr="00360E5A" w:rsidRDefault="00360E5A" w:rsidP="00360E5A">
                    <w:pPr>
                      <w:spacing w:after="0"/>
                      <w:rPr>
                        <w:rFonts w:ascii="Aptos" w:eastAsia="Aptos" w:hAnsi="Aptos" w:cs="Aptos"/>
                        <w:noProof/>
                        <w:color w:val="000000"/>
                        <w:sz w:val="24"/>
                      </w:rPr>
                    </w:pPr>
                    <w:r w:rsidRPr="00360E5A">
                      <w:rPr>
                        <w:rFonts w:ascii="Aptos" w:eastAsia="Aptos" w:hAnsi="Aptos" w:cs="Aptos"/>
                        <w:noProof/>
                        <w:color w:val="00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E5B0" w14:textId="39E3AA0C" w:rsidR="00F85186" w:rsidRDefault="00360E5A">
    <w:r>
      <w:rPr>
        <w:rFonts w:asciiTheme="majorHAnsi" w:eastAsiaTheme="minorHAnsi" w:hAnsiTheme="majorHAnsi" w:cstheme="majorBidi"/>
        <w:noProof/>
        <w:color w:val="0082CA" w:themeColor="text1"/>
        <w:sz w:val="24"/>
        <w:lang w:val="en-US" w:eastAsia="en-US"/>
      </w:rPr>
      <mc:AlternateContent>
        <mc:Choice Requires="wps">
          <w:drawing>
            <wp:anchor distT="0" distB="0" distL="0" distR="0" simplePos="0" relativeHeight="251658241" behindDoc="0" locked="0" layoutInCell="1" allowOverlap="1" wp14:anchorId="6DFF5384" wp14:editId="7602F3A6">
              <wp:simplePos x="635" y="635"/>
              <wp:positionH relativeFrom="page">
                <wp:align>center</wp:align>
              </wp:positionH>
              <wp:positionV relativeFrom="page">
                <wp:align>top</wp:align>
              </wp:positionV>
              <wp:extent cx="622300" cy="432435"/>
              <wp:effectExtent l="0" t="0" r="6350" b="5715"/>
              <wp:wrapNone/>
              <wp:docPr id="16085220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32435"/>
                      </a:xfrm>
                      <a:prstGeom prst="rect">
                        <a:avLst/>
                      </a:prstGeom>
                      <a:noFill/>
                      <a:ln>
                        <a:noFill/>
                      </a:ln>
                    </wps:spPr>
                    <wps:txbx>
                      <w:txbxContent>
                        <w:p w14:paraId="3D5A6473" w14:textId="4FCC6725" w:rsidR="00360E5A" w:rsidRPr="00360E5A" w:rsidRDefault="00360E5A" w:rsidP="00360E5A">
                          <w:pPr>
                            <w:spacing w:after="0"/>
                            <w:rPr>
                              <w:rFonts w:ascii="Aptos" w:eastAsia="Aptos" w:hAnsi="Aptos" w:cs="Aptos"/>
                              <w:noProof/>
                              <w:color w:val="000000"/>
                              <w:sz w:val="24"/>
                            </w:rPr>
                          </w:pPr>
                          <w:r w:rsidRPr="00360E5A">
                            <w:rPr>
                              <w:rFonts w:ascii="Aptos" w:eastAsia="Aptos" w:hAnsi="Aptos" w:cs="Aptos"/>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FF5384" id="_x0000_t202" coordsize="21600,21600" o:spt="202" path="m,l,21600r21600,l21600,xe">
              <v:stroke joinstyle="miter"/>
              <v:path gradientshapeok="t" o:connecttype="rect"/>
            </v:shapetype>
            <v:shape id="_x0000_s1044" type="#_x0000_t202" alt="OFFICIAL" style="position:absolute;margin-left:0;margin-top:0;width:49pt;height:34.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" filled="f" stroked="f">
              <v:textbox style="mso-fit-shape-to-text:t" inset="0,15pt,0,0">
                <w:txbxContent>
                  <w:p w14:paraId="3D5A6473" w14:textId="4FCC6725" w:rsidR="00360E5A" w:rsidRPr="00360E5A" w:rsidRDefault="00360E5A" w:rsidP="00360E5A">
                    <w:pPr>
                      <w:spacing w:after="0"/>
                      <w:rPr>
                        <w:rFonts w:ascii="Aptos" w:eastAsia="Aptos" w:hAnsi="Aptos" w:cs="Aptos"/>
                        <w:noProof/>
                        <w:color w:val="000000"/>
                        <w:sz w:val="24"/>
                      </w:rPr>
                    </w:pPr>
                    <w:r w:rsidRPr="00360E5A">
                      <w:rPr>
                        <w:rFonts w:ascii="Aptos" w:eastAsia="Aptos" w:hAnsi="Aptos" w:cs="Aptos"/>
                        <w:noProof/>
                        <w:color w:val="000000"/>
                        <w:sz w:val="24"/>
                      </w:rPr>
                      <w:t>OFFICIAL</w:t>
                    </w:r>
                  </w:p>
                </w:txbxContent>
              </v:textbox>
              <w10:wrap anchorx="page" anchory="page"/>
            </v:shape>
          </w:pict>
        </mc:Fallback>
      </mc:AlternateContent>
    </w:r>
    <w:r w:rsidR="00D30F06" w:rsidRPr="007A3454">
      <w:rPr>
        <w:rStyle w:val="Heading5Char"/>
        <w:rFonts w:eastAsiaTheme="minorHAnsi"/>
        <w:noProof/>
        <w:lang w:val="en-US" w:eastAsia="en-US"/>
      </w:rPr>
      <w:drawing>
        <wp:anchor distT="0" distB="0" distL="114300" distR="114300" simplePos="0" relativeHeight="251658240" behindDoc="0" locked="0" layoutInCell="1" allowOverlap="1" wp14:anchorId="0F63C5DF" wp14:editId="42C50F92">
          <wp:simplePos x="0" y="0"/>
          <wp:positionH relativeFrom="column">
            <wp:posOffset>5050790</wp:posOffset>
          </wp:positionH>
          <wp:positionV relativeFrom="paragraph">
            <wp:posOffset>9525</wp:posOffset>
          </wp:positionV>
          <wp:extent cx="1259840" cy="546100"/>
          <wp:effectExtent l="0" t="0" r="0" b="6350"/>
          <wp:wrapNone/>
          <wp:docPr id="1906073450" name="Picture 1906073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955564" name="Picture 659955564">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58EBE" w14:textId="456B8146" w:rsidR="00F85186" w:rsidRDefault="00360E5A">
    <w:r>
      <w:rPr>
        <w:noProof/>
      </w:rPr>
      <mc:AlternateContent>
        <mc:Choice Requires="wps">
          <w:drawing>
            <wp:anchor distT="0" distB="0" distL="0" distR="0" simplePos="0" relativeHeight="251658245" behindDoc="0" locked="0" layoutInCell="1" allowOverlap="1" wp14:anchorId="484B39E3" wp14:editId="44BD251E">
              <wp:simplePos x="635" y="635"/>
              <wp:positionH relativeFrom="page">
                <wp:align>center</wp:align>
              </wp:positionH>
              <wp:positionV relativeFrom="page">
                <wp:align>top</wp:align>
              </wp:positionV>
              <wp:extent cx="622300" cy="432435"/>
              <wp:effectExtent l="0" t="0" r="6350" b="5715"/>
              <wp:wrapNone/>
              <wp:docPr id="104929078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32435"/>
                      </a:xfrm>
                      <a:prstGeom prst="rect">
                        <a:avLst/>
                      </a:prstGeom>
                      <a:noFill/>
                      <a:ln>
                        <a:noFill/>
                      </a:ln>
                    </wps:spPr>
                    <wps:txbx>
                      <w:txbxContent>
                        <w:p w14:paraId="48B5A828" w14:textId="7C00D6B4" w:rsidR="00360E5A" w:rsidRPr="00360E5A" w:rsidRDefault="00360E5A" w:rsidP="00360E5A">
                          <w:pPr>
                            <w:spacing w:after="0"/>
                            <w:rPr>
                              <w:rFonts w:ascii="Aptos" w:eastAsia="Aptos" w:hAnsi="Aptos" w:cs="Aptos"/>
                              <w:noProof/>
                              <w:color w:val="000000"/>
                              <w:sz w:val="24"/>
                            </w:rPr>
                          </w:pPr>
                          <w:r w:rsidRPr="00360E5A">
                            <w:rPr>
                              <w:rFonts w:ascii="Aptos" w:eastAsia="Aptos" w:hAnsi="Aptos" w:cs="Aptos"/>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4B39E3" id="_x0000_t202" coordsize="21600,21600" o:spt="202" path="m,l,21600r21600,l21600,xe">
              <v:stroke joinstyle="miter"/>
              <v:path gradientshapeok="t" o:connecttype="rect"/>
            </v:shapetype>
            <v:shape id="Text Box 5" o:spid="_x0000_s1045" type="#_x0000_t202" alt="OFFICIAL" style="position:absolute;margin-left:0;margin-top:0;width:49pt;height:34.0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" filled="f" stroked="f">
              <v:textbox style="mso-fit-shape-to-text:t" inset="0,15pt,0,0">
                <w:txbxContent>
                  <w:p w14:paraId="48B5A828" w14:textId="7C00D6B4" w:rsidR="00360E5A" w:rsidRPr="00360E5A" w:rsidRDefault="00360E5A" w:rsidP="00360E5A">
                    <w:pPr>
                      <w:spacing w:after="0"/>
                      <w:rPr>
                        <w:rFonts w:ascii="Aptos" w:eastAsia="Aptos" w:hAnsi="Aptos" w:cs="Aptos"/>
                        <w:noProof/>
                        <w:color w:val="000000"/>
                        <w:sz w:val="24"/>
                      </w:rPr>
                    </w:pPr>
                    <w:r w:rsidRPr="00360E5A">
                      <w:rPr>
                        <w:rFonts w:ascii="Aptos" w:eastAsia="Aptos" w:hAnsi="Aptos" w:cs="Aptos"/>
                        <w:noProof/>
                        <w:color w:val="00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E9011" w14:textId="3AC3B00F" w:rsidR="00F85186" w:rsidRDefault="00360E5A">
    <w:r>
      <w:rPr>
        <w:noProof/>
      </w:rPr>
      <mc:AlternateContent>
        <mc:Choice Requires="wps">
          <w:drawing>
            <wp:anchor distT="0" distB="0" distL="0" distR="0" simplePos="0" relativeHeight="251658246" behindDoc="0" locked="0" layoutInCell="1" allowOverlap="1" wp14:anchorId="0045F8F5" wp14:editId="742782E4">
              <wp:simplePos x="902525" y="451262"/>
              <wp:positionH relativeFrom="page">
                <wp:align>center</wp:align>
              </wp:positionH>
              <wp:positionV relativeFrom="page">
                <wp:align>top</wp:align>
              </wp:positionV>
              <wp:extent cx="622300" cy="432435"/>
              <wp:effectExtent l="0" t="0" r="6350" b="5715"/>
              <wp:wrapNone/>
              <wp:docPr id="169931995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32435"/>
                      </a:xfrm>
                      <a:prstGeom prst="rect">
                        <a:avLst/>
                      </a:prstGeom>
                      <a:noFill/>
                      <a:ln>
                        <a:noFill/>
                      </a:ln>
                    </wps:spPr>
                    <wps:txbx>
                      <w:txbxContent>
                        <w:p w14:paraId="5FCEFC35" w14:textId="22AE72E5" w:rsidR="00360E5A" w:rsidRPr="00360E5A" w:rsidRDefault="00360E5A" w:rsidP="00360E5A">
                          <w:pPr>
                            <w:spacing w:after="0"/>
                            <w:rPr>
                              <w:rFonts w:ascii="Aptos" w:eastAsia="Aptos" w:hAnsi="Aptos" w:cs="Aptos"/>
                              <w:noProof/>
                              <w:color w:val="000000"/>
                              <w:sz w:val="24"/>
                            </w:rPr>
                          </w:pPr>
                          <w:r w:rsidRPr="00360E5A">
                            <w:rPr>
                              <w:rFonts w:ascii="Aptos" w:eastAsia="Aptos" w:hAnsi="Aptos" w:cs="Aptos"/>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45F8F5" id="_x0000_t202" coordsize="21600,21600" o:spt="202" path="m,l,21600r21600,l21600,xe">
              <v:stroke joinstyle="miter"/>
              <v:path gradientshapeok="t" o:connecttype="rect"/>
            </v:shapetype>
            <v:shape id="Text Box 6" o:spid="_x0000_s1046" type="#_x0000_t202" alt="OFFICIAL" style="position:absolute;margin-left:0;margin-top:0;width:49pt;height:34.0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" filled="f" stroked="f">
              <v:textbox style="mso-fit-shape-to-text:t" inset="0,15pt,0,0">
                <w:txbxContent>
                  <w:p w14:paraId="5FCEFC35" w14:textId="22AE72E5" w:rsidR="00360E5A" w:rsidRPr="00360E5A" w:rsidRDefault="00360E5A" w:rsidP="00360E5A">
                    <w:pPr>
                      <w:spacing w:after="0"/>
                      <w:rPr>
                        <w:rFonts w:ascii="Aptos" w:eastAsia="Aptos" w:hAnsi="Aptos" w:cs="Aptos"/>
                        <w:noProof/>
                        <w:color w:val="000000"/>
                        <w:sz w:val="24"/>
                      </w:rPr>
                    </w:pPr>
                    <w:r w:rsidRPr="00360E5A">
                      <w:rPr>
                        <w:rFonts w:ascii="Aptos" w:eastAsia="Aptos" w:hAnsi="Aptos" w:cs="Aptos"/>
                        <w:noProof/>
                        <w:color w:val="00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98C70" w14:textId="35081A8E" w:rsidR="00F85186" w:rsidRDefault="00360E5A">
    <w:r>
      <w:rPr>
        <w:noProof/>
      </w:rPr>
      <mc:AlternateContent>
        <mc:Choice Requires="wps">
          <w:drawing>
            <wp:anchor distT="0" distB="0" distL="0" distR="0" simplePos="0" relativeHeight="251658244" behindDoc="0" locked="0" layoutInCell="1" allowOverlap="1" wp14:anchorId="12EF85F1" wp14:editId="6D74A470">
              <wp:simplePos x="635" y="635"/>
              <wp:positionH relativeFrom="page">
                <wp:align>center</wp:align>
              </wp:positionH>
              <wp:positionV relativeFrom="page">
                <wp:align>top</wp:align>
              </wp:positionV>
              <wp:extent cx="622300" cy="432435"/>
              <wp:effectExtent l="0" t="0" r="6350" b="5715"/>
              <wp:wrapNone/>
              <wp:docPr id="56829165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32435"/>
                      </a:xfrm>
                      <a:prstGeom prst="rect">
                        <a:avLst/>
                      </a:prstGeom>
                      <a:noFill/>
                      <a:ln>
                        <a:noFill/>
                      </a:ln>
                    </wps:spPr>
                    <wps:txbx>
                      <w:txbxContent>
                        <w:p w14:paraId="2D36E03C" w14:textId="2D451745" w:rsidR="00360E5A" w:rsidRPr="00360E5A" w:rsidRDefault="00360E5A" w:rsidP="00360E5A">
                          <w:pPr>
                            <w:spacing w:after="0"/>
                            <w:rPr>
                              <w:rFonts w:ascii="Aptos" w:eastAsia="Aptos" w:hAnsi="Aptos" w:cs="Aptos"/>
                              <w:noProof/>
                              <w:color w:val="000000"/>
                              <w:sz w:val="24"/>
                            </w:rPr>
                          </w:pPr>
                          <w:r w:rsidRPr="00360E5A">
                            <w:rPr>
                              <w:rFonts w:ascii="Aptos" w:eastAsia="Aptos" w:hAnsi="Aptos" w:cs="Aptos"/>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EF85F1" id="_x0000_t202" coordsize="21600,21600" o:spt="202" path="m,l,21600r21600,l21600,xe">
              <v:stroke joinstyle="miter"/>
              <v:path gradientshapeok="t" o:connecttype="rect"/>
            </v:shapetype>
            <v:shape id="Text Box 4" o:spid="_x0000_s1047" type="#_x0000_t202" alt="OFFICIAL" style="position:absolute;margin-left:0;margin-top:0;width:49pt;height:34.0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" filled="f" stroked="f">
              <v:textbox style="mso-fit-shape-to-text:t" inset="0,15pt,0,0">
                <w:txbxContent>
                  <w:p w14:paraId="2D36E03C" w14:textId="2D451745" w:rsidR="00360E5A" w:rsidRPr="00360E5A" w:rsidRDefault="00360E5A" w:rsidP="00360E5A">
                    <w:pPr>
                      <w:spacing w:after="0"/>
                      <w:rPr>
                        <w:rFonts w:ascii="Aptos" w:eastAsia="Aptos" w:hAnsi="Aptos" w:cs="Aptos"/>
                        <w:noProof/>
                        <w:color w:val="000000"/>
                        <w:sz w:val="24"/>
                      </w:rPr>
                    </w:pPr>
                    <w:r w:rsidRPr="00360E5A">
                      <w:rPr>
                        <w:rFonts w:ascii="Aptos" w:eastAsia="Aptos" w:hAnsi="Aptos" w:cs="Aptos"/>
                        <w:noProof/>
                        <w:color w:val="00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A50"/>
    <w:multiLevelType w:val="hybridMultilevel"/>
    <w:tmpl w:val="FFECC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13E14"/>
    <w:multiLevelType w:val="hybridMultilevel"/>
    <w:tmpl w:val="346C856C"/>
    <w:lvl w:ilvl="0" w:tplc="DFDC817A">
      <w:start w:val="1"/>
      <w:numFmt w:val="upperRoman"/>
      <w:pStyle w:val="Heading2-Numbered"/>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6F4AC7"/>
    <w:multiLevelType w:val="hybridMultilevel"/>
    <w:tmpl w:val="F20C55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6A0DE2"/>
    <w:multiLevelType w:val="hybridMultilevel"/>
    <w:tmpl w:val="F2761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06299"/>
    <w:multiLevelType w:val="hybridMultilevel"/>
    <w:tmpl w:val="9F2A9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D1251"/>
    <w:multiLevelType w:val="hybridMultilevel"/>
    <w:tmpl w:val="A47CB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B22D18"/>
    <w:multiLevelType w:val="hybridMultilevel"/>
    <w:tmpl w:val="80C45B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4D2AFA"/>
    <w:multiLevelType w:val="hybridMultilevel"/>
    <w:tmpl w:val="C636B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4E5556"/>
    <w:multiLevelType w:val="multilevel"/>
    <w:tmpl w:val="CE2E4EEA"/>
    <w:lvl w:ilvl="0">
      <w:start w:val="1"/>
      <w:numFmt w:val="decimal"/>
      <w:lvlText w:val="%1."/>
      <w:lvlJc w:val="left"/>
      <w:pPr>
        <w:ind w:left="720" w:hanging="360"/>
      </w:pPr>
    </w:lvl>
    <w:lvl w:ilvl="1">
      <w:start w:val="5"/>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A319F5"/>
    <w:multiLevelType w:val="hybridMultilevel"/>
    <w:tmpl w:val="71763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F5688B"/>
    <w:multiLevelType w:val="hybridMultilevel"/>
    <w:tmpl w:val="EE76C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7E7EBA"/>
    <w:multiLevelType w:val="hybridMultilevel"/>
    <w:tmpl w:val="47528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8506BC"/>
    <w:multiLevelType w:val="hybridMultilevel"/>
    <w:tmpl w:val="84D41C50"/>
    <w:lvl w:ilvl="0" w:tplc="055E220A">
      <w:start w:val="1"/>
      <w:numFmt w:val="decimal"/>
      <w:lvlText w:val="%1."/>
      <w:lvlJc w:val="left"/>
      <w:pPr>
        <w:ind w:left="720" w:hanging="360"/>
      </w:pPr>
      <w:rPr>
        <w:rFonts w:hint="default"/>
      </w:rPr>
    </w:lvl>
    <w:lvl w:ilvl="1" w:tplc="2AB6124A" w:tentative="1">
      <w:start w:val="1"/>
      <w:numFmt w:val="lowerLetter"/>
      <w:lvlText w:val="%2."/>
      <w:lvlJc w:val="left"/>
      <w:pPr>
        <w:ind w:left="1440" w:hanging="360"/>
      </w:pPr>
    </w:lvl>
    <w:lvl w:ilvl="2" w:tplc="E64C8DF2" w:tentative="1">
      <w:start w:val="1"/>
      <w:numFmt w:val="lowerRoman"/>
      <w:lvlText w:val="%3."/>
      <w:lvlJc w:val="right"/>
      <w:pPr>
        <w:ind w:left="2160" w:hanging="180"/>
      </w:pPr>
    </w:lvl>
    <w:lvl w:ilvl="3" w:tplc="251AD346" w:tentative="1">
      <w:start w:val="1"/>
      <w:numFmt w:val="decimal"/>
      <w:lvlText w:val="%4."/>
      <w:lvlJc w:val="left"/>
      <w:pPr>
        <w:ind w:left="2880" w:hanging="360"/>
      </w:pPr>
    </w:lvl>
    <w:lvl w:ilvl="4" w:tplc="AC0482BA" w:tentative="1">
      <w:start w:val="1"/>
      <w:numFmt w:val="lowerLetter"/>
      <w:lvlText w:val="%5."/>
      <w:lvlJc w:val="left"/>
      <w:pPr>
        <w:ind w:left="3600" w:hanging="360"/>
      </w:pPr>
    </w:lvl>
    <w:lvl w:ilvl="5" w:tplc="887A580A" w:tentative="1">
      <w:start w:val="1"/>
      <w:numFmt w:val="lowerRoman"/>
      <w:lvlText w:val="%6."/>
      <w:lvlJc w:val="right"/>
      <w:pPr>
        <w:ind w:left="4320" w:hanging="180"/>
      </w:pPr>
    </w:lvl>
    <w:lvl w:ilvl="6" w:tplc="DB608C90" w:tentative="1">
      <w:start w:val="1"/>
      <w:numFmt w:val="decimal"/>
      <w:lvlText w:val="%7."/>
      <w:lvlJc w:val="left"/>
      <w:pPr>
        <w:ind w:left="5040" w:hanging="360"/>
      </w:pPr>
    </w:lvl>
    <w:lvl w:ilvl="7" w:tplc="F9AE1880" w:tentative="1">
      <w:start w:val="1"/>
      <w:numFmt w:val="lowerLetter"/>
      <w:lvlText w:val="%8."/>
      <w:lvlJc w:val="left"/>
      <w:pPr>
        <w:ind w:left="5760" w:hanging="360"/>
      </w:pPr>
    </w:lvl>
    <w:lvl w:ilvl="8" w:tplc="3D4631F4" w:tentative="1">
      <w:start w:val="1"/>
      <w:numFmt w:val="lowerRoman"/>
      <w:lvlText w:val="%9."/>
      <w:lvlJc w:val="right"/>
      <w:pPr>
        <w:ind w:left="6480" w:hanging="180"/>
      </w:pPr>
    </w:lvl>
  </w:abstractNum>
  <w:abstractNum w:abstractNumId="13" w15:restartNumberingAfterBreak="0">
    <w:nsid w:val="17D32DA8"/>
    <w:multiLevelType w:val="hybridMultilevel"/>
    <w:tmpl w:val="9410C5B0"/>
    <w:lvl w:ilvl="0" w:tplc="B37C3AFA">
      <w:start w:val="1"/>
      <w:numFmt w:val="decimal"/>
      <w:lvlText w:val="%1."/>
      <w:lvlJc w:val="left"/>
      <w:pPr>
        <w:ind w:left="720" w:hanging="360"/>
      </w:pPr>
    </w:lvl>
    <w:lvl w:ilvl="1" w:tplc="11D68586" w:tentative="1">
      <w:start w:val="1"/>
      <w:numFmt w:val="lowerLetter"/>
      <w:lvlText w:val="%2."/>
      <w:lvlJc w:val="left"/>
      <w:pPr>
        <w:ind w:left="1440" w:hanging="360"/>
      </w:pPr>
    </w:lvl>
    <w:lvl w:ilvl="2" w:tplc="FB9E6580" w:tentative="1">
      <w:start w:val="1"/>
      <w:numFmt w:val="lowerRoman"/>
      <w:lvlText w:val="%3."/>
      <w:lvlJc w:val="right"/>
      <w:pPr>
        <w:ind w:left="2160" w:hanging="180"/>
      </w:pPr>
    </w:lvl>
    <w:lvl w:ilvl="3" w:tplc="4C280CF6" w:tentative="1">
      <w:start w:val="1"/>
      <w:numFmt w:val="decimal"/>
      <w:lvlText w:val="%4."/>
      <w:lvlJc w:val="left"/>
      <w:pPr>
        <w:ind w:left="2880" w:hanging="360"/>
      </w:pPr>
    </w:lvl>
    <w:lvl w:ilvl="4" w:tplc="79789054" w:tentative="1">
      <w:start w:val="1"/>
      <w:numFmt w:val="lowerLetter"/>
      <w:lvlText w:val="%5."/>
      <w:lvlJc w:val="left"/>
      <w:pPr>
        <w:ind w:left="3600" w:hanging="360"/>
      </w:pPr>
    </w:lvl>
    <w:lvl w:ilvl="5" w:tplc="79A2CEFC" w:tentative="1">
      <w:start w:val="1"/>
      <w:numFmt w:val="lowerRoman"/>
      <w:lvlText w:val="%6."/>
      <w:lvlJc w:val="right"/>
      <w:pPr>
        <w:ind w:left="4320" w:hanging="180"/>
      </w:pPr>
    </w:lvl>
    <w:lvl w:ilvl="6" w:tplc="0E8A2DB2" w:tentative="1">
      <w:start w:val="1"/>
      <w:numFmt w:val="decimal"/>
      <w:lvlText w:val="%7."/>
      <w:lvlJc w:val="left"/>
      <w:pPr>
        <w:ind w:left="5040" w:hanging="360"/>
      </w:pPr>
    </w:lvl>
    <w:lvl w:ilvl="7" w:tplc="84182126" w:tentative="1">
      <w:start w:val="1"/>
      <w:numFmt w:val="lowerLetter"/>
      <w:lvlText w:val="%8."/>
      <w:lvlJc w:val="left"/>
      <w:pPr>
        <w:ind w:left="5760" w:hanging="360"/>
      </w:pPr>
    </w:lvl>
    <w:lvl w:ilvl="8" w:tplc="1C9E4E30" w:tentative="1">
      <w:start w:val="1"/>
      <w:numFmt w:val="lowerRoman"/>
      <w:lvlText w:val="%9."/>
      <w:lvlJc w:val="right"/>
      <w:pPr>
        <w:ind w:left="6480" w:hanging="180"/>
      </w:pPr>
    </w:lvl>
  </w:abstractNum>
  <w:abstractNum w:abstractNumId="14" w15:restartNumberingAfterBreak="0">
    <w:nsid w:val="1DDE76C5"/>
    <w:multiLevelType w:val="hybridMultilevel"/>
    <w:tmpl w:val="84841B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EB727D"/>
    <w:multiLevelType w:val="hybridMultilevel"/>
    <w:tmpl w:val="F8380324"/>
    <w:lvl w:ilvl="0" w:tplc="59662C46">
      <w:start w:val="1"/>
      <w:numFmt w:val="decimal"/>
      <w:lvlText w:val="%1."/>
      <w:lvlJc w:val="left"/>
      <w:pPr>
        <w:ind w:left="720" w:hanging="360"/>
      </w:pPr>
    </w:lvl>
    <w:lvl w:ilvl="1" w:tplc="05F49B00" w:tentative="1">
      <w:start w:val="1"/>
      <w:numFmt w:val="lowerLetter"/>
      <w:lvlText w:val="%2."/>
      <w:lvlJc w:val="left"/>
      <w:pPr>
        <w:ind w:left="1440" w:hanging="360"/>
      </w:pPr>
    </w:lvl>
    <w:lvl w:ilvl="2" w:tplc="FE409B52" w:tentative="1">
      <w:start w:val="1"/>
      <w:numFmt w:val="lowerRoman"/>
      <w:lvlText w:val="%3."/>
      <w:lvlJc w:val="right"/>
      <w:pPr>
        <w:ind w:left="2160" w:hanging="180"/>
      </w:pPr>
    </w:lvl>
    <w:lvl w:ilvl="3" w:tplc="391C6A14" w:tentative="1">
      <w:start w:val="1"/>
      <w:numFmt w:val="decimal"/>
      <w:lvlText w:val="%4."/>
      <w:lvlJc w:val="left"/>
      <w:pPr>
        <w:ind w:left="2880" w:hanging="360"/>
      </w:pPr>
    </w:lvl>
    <w:lvl w:ilvl="4" w:tplc="F11C4FB6" w:tentative="1">
      <w:start w:val="1"/>
      <w:numFmt w:val="lowerLetter"/>
      <w:lvlText w:val="%5."/>
      <w:lvlJc w:val="left"/>
      <w:pPr>
        <w:ind w:left="3600" w:hanging="360"/>
      </w:pPr>
    </w:lvl>
    <w:lvl w:ilvl="5" w:tplc="7BB41002" w:tentative="1">
      <w:start w:val="1"/>
      <w:numFmt w:val="lowerRoman"/>
      <w:lvlText w:val="%6."/>
      <w:lvlJc w:val="right"/>
      <w:pPr>
        <w:ind w:left="4320" w:hanging="180"/>
      </w:pPr>
    </w:lvl>
    <w:lvl w:ilvl="6" w:tplc="9FE81544" w:tentative="1">
      <w:start w:val="1"/>
      <w:numFmt w:val="decimal"/>
      <w:lvlText w:val="%7."/>
      <w:lvlJc w:val="left"/>
      <w:pPr>
        <w:ind w:left="5040" w:hanging="360"/>
      </w:pPr>
    </w:lvl>
    <w:lvl w:ilvl="7" w:tplc="3EBC377A" w:tentative="1">
      <w:start w:val="1"/>
      <w:numFmt w:val="lowerLetter"/>
      <w:lvlText w:val="%8."/>
      <w:lvlJc w:val="left"/>
      <w:pPr>
        <w:ind w:left="5760" w:hanging="360"/>
      </w:pPr>
    </w:lvl>
    <w:lvl w:ilvl="8" w:tplc="BB740BCA" w:tentative="1">
      <w:start w:val="1"/>
      <w:numFmt w:val="lowerRoman"/>
      <w:lvlText w:val="%9."/>
      <w:lvlJc w:val="right"/>
      <w:pPr>
        <w:ind w:left="6480" w:hanging="180"/>
      </w:pPr>
    </w:lvl>
  </w:abstractNum>
  <w:abstractNum w:abstractNumId="16" w15:restartNumberingAfterBreak="0">
    <w:nsid w:val="200D3D0A"/>
    <w:multiLevelType w:val="hybridMultilevel"/>
    <w:tmpl w:val="BA9EC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187BBD"/>
    <w:multiLevelType w:val="hybridMultilevel"/>
    <w:tmpl w:val="8D84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21252C"/>
    <w:multiLevelType w:val="hybridMultilevel"/>
    <w:tmpl w:val="D8445562"/>
    <w:lvl w:ilvl="0" w:tplc="AA02AB80">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3C86F25"/>
    <w:multiLevelType w:val="hybridMultilevel"/>
    <w:tmpl w:val="5F9E9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7E2DF6"/>
    <w:multiLevelType w:val="hybridMultilevel"/>
    <w:tmpl w:val="DA26A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E86685"/>
    <w:multiLevelType w:val="hybridMultilevel"/>
    <w:tmpl w:val="B53C5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18648D"/>
    <w:multiLevelType w:val="hybridMultilevel"/>
    <w:tmpl w:val="754A3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85866C3"/>
    <w:multiLevelType w:val="hybridMultilevel"/>
    <w:tmpl w:val="FC5E4D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DB81B0F"/>
    <w:multiLevelType w:val="hybridMultilevel"/>
    <w:tmpl w:val="8522F744"/>
    <w:lvl w:ilvl="0" w:tplc="08090001">
      <w:start w:val="1"/>
      <w:numFmt w:val="bullet"/>
      <w:lvlText w:val=""/>
      <w:lvlJc w:val="left"/>
      <w:pPr>
        <w:ind w:left="720" w:hanging="360"/>
      </w:pPr>
      <w:rPr>
        <w:rFonts w:ascii="Symbol" w:hAnsi="Symbol" w:hint="default"/>
      </w:rPr>
    </w:lvl>
    <w:lvl w:ilvl="1" w:tplc="94EEE4AA">
      <w:numFmt w:val="bullet"/>
      <w:lvlText w:val="•"/>
      <w:lvlJc w:val="left"/>
      <w:pPr>
        <w:ind w:left="1440" w:hanging="360"/>
      </w:pPr>
      <w:rPr>
        <w:rFonts w:ascii="Ubuntu" w:eastAsiaTheme="minorEastAsia" w:hAnsi="Ubuntu" w:cs="Arial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786FF2"/>
    <w:multiLevelType w:val="hybridMultilevel"/>
    <w:tmpl w:val="A85A2E2C"/>
    <w:lvl w:ilvl="0" w:tplc="03C02A5C">
      <w:start w:val="1"/>
      <w:numFmt w:val="bullet"/>
      <w:lvlText w:val=""/>
      <w:lvlJc w:val="left"/>
      <w:pPr>
        <w:ind w:left="720" w:hanging="360"/>
      </w:pPr>
      <w:rPr>
        <w:rFonts w:ascii="Symbol" w:hAnsi="Symbol" w:hint="default"/>
      </w:rPr>
    </w:lvl>
    <w:lvl w:ilvl="1" w:tplc="5AEC7770" w:tentative="1">
      <w:start w:val="1"/>
      <w:numFmt w:val="bullet"/>
      <w:lvlText w:val="o"/>
      <w:lvlJc w:val="left"/>
      <w:pPr>
        <w:ind w:left="1440" w:hanging="360"/>
      </w:pPr>
      <w:rPr>
        <w:rFonts w:ascii="Courier New" w:hAnsi="Courier New" w:cs="Courier New" w:hint="default"/>
      </w:rPr>
    </w:lvl>
    <w:lvl w:ilvl="2" w:tplc="69D2082E" w:tentative="1">
      <w:start w:val="1"/>
      <w:numFmt w:val="bullet"/>
      <w:lvlText w:val=""/>
      <w:lvlJc w:val="left"/>
      <w:pPr>
        <w:ind w:left="2160" w:hanging="360"/>
      </w:pPr>
      <w:rPr>
        <w:rFonts w:ascii="Wingdings" w:hAnsi="Wingdings" w:hint="default"/>
      </w:rPr>
    </w:lvl>
    <w:lvl w:ilvl="3" w:tplc="0CE02A16" w:tentative="1">
      <w:start w:val="1"/>
      <w:numFmt w:val="bullet"/>
      <w:lvlText w:val=""/>
      <w:lvlJc w:val="left"/>
      <w:pPr>
        <w:ind w:left="2880" w:hanging="360"/>
      </w:pPr>
      <w:rPr>
        <w:rFonts w:ascii="Symbol" w:hAnsi="Symbol" w:hint="default"/>
      </w:rPr>
    </w:lvl>
    <w:lvl w:ilvl="4" w:tplc="D7D21458" w:tentative="1">
      <w:start w:val="1"/>
      <w:numFmt w:val="bullet"/>
      <w:lvlText w:val="o"/>
      <w:lvlJc w:val="left"/>
      <w:pPr>
        <w:ind w:left="3600" w:hanging="360"/>
      </w:pPr>
      <w:rPr>
        <w:rFonts w:ascii="Courier New" w:hAnsi="Courier New" w:cs="Courier New" w:hint="default"/>
      </w:rPr>
    </w:lvl>
    <w:lvl w:ilvl="5" w:tplc="C9CAEFC0" w:tentative="1">
      <w:start w:val="1"/>
      <w:numFmt w:val="bullet"/>
      <w:lvlText w:val=""/>
      <w:lvlJc w:val="left"/>
      <w:pPr>
        <w:ind w:left="4320" w:hanging="360"/>
      </w:pPr>
      <w:rPr>
        <w:rFonts w:ascii="Wingdings" w:hAnsi="Wingdings" w:hint="default"/>
      </w:rPr>
    </w:lvl>
    <w:lvl w:ilvl="6" w:tplc="5A62CF38" w:tentative="1">
      <w:start w:val="1"/>
      <w:numFmt w:val="bullet"/>
      <w:lvlText w:val=""/>
      <w:lvlJc w:val="left"/>
      <w:pPr>
        <w:ind w:left="5040" w:hanging="360"/>
      </w:pPr>
      <w:rPr>
        <w:rFonts w:ascii="Symbol" w:hAnsi="Symbol" w:hint="default"/>
      </w:rPr>
    </w:lvl>
    <w:lvl w:ilvl="7" w:tplc="20E8B25C" w:tentative="1">
      <w:start w:val="1"/>
      <w:numFmt w:val="bullet"/>
      <w:lvlText w:val="o"/>
      <w:lvlJc w:val="left"/>
      <w:pPr>
        <w:ind w:left="5760" w:hanging="360"/>
      </w:pPr>
      <w:rPr>
        <w:rFonts w:ascii="Courier New" w:hAnsi="Courier New" w:cs="Courier New" w:hint="default"/>
      </w:rPr>
    </w:lvl>
    <w:lvl w:ilvl="8" w:tplc="143215B2" w:tentative="1">
      <w:start w:val="1"/>
      <w:numFmt w:val="bullet"/>
      <w:lvlText w:val=""/>
      <w:lvlJc w:val="left"/>
      <w:pPr>
        <w:ind w:left="6480" w:hanging="360"/>
      </w:pPr>
      <w:rPr>
        <w:rFonts w:ascii="Wingdings" w:hAnsi="Wingdings" w:hint="default"/>
      </w:rPr>
    </w:lvl>
  </w:abstractNum>
  <w:abstractNum w:abstractNumId="26" w15:restartNumberingAfterBreak="0">
    <w:nsid w:val="2F4B068F"/>
    <w:multiLevelType w:val="multilevel"/>
    <w:tmpl w:val="CE2E4EEA"/>
    <w:lvl w:ilvl="0">
      <w:start w:val="1"/>
      <w:numFmt w:val="decimal"/>
      <w:lvlText w:val="%1."/>
      <w:lvlJc w:val="left"/>
      <w:pPr>
        <w:ind w:left="720" w:hanging="360"/>
      </w:pPr>
    </w:lvl>
    <w:lvl w:ilvl="1">
      <w:start w:val="5"/>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1F77EA3"/>
    <w:multiLevelType w:val="hybridMultilevel"/>
    <w:tmpl w:val="30605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32F5A0F"/>
    <w:multiLevelType w:val="hybridMultilevel"/>
    <w:tmpl w:val="C2B08F90"/>
    <w:lvl w:ilvl="0" w:tplc="1A9086E4">
      <w:start w:val="1"/>
      <w:numFmt w:val="lowerLetter"/>
      <w:pStyle w:val="Normal-ABClist-text"/>
      <w:lvlText w:val="%1)"/>
      <w:lvlJc w:val="left"/>
      <w:pPr>
        <w:ind w:left="284" w:hanging="284"/>
      </w:pPr>
      <w:rPr>
        <w:rFonts w:hint="default"/>
        <w:color w:val="0090D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6F05D1E"/>
    <w:multiLevelType w:val="hybridMultilevel"/>
    <w:tmpl w:val="07F238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37004099"/>
    <w:multiLevelType w:val="hybridMultilevel"/>
    <w:tmpl w:val="BB16D1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9A769B1"/>
    <w:multiLevelType w:val="hybridMultilevel"/>
    <w:tmpl w:val="024C6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BBD7C4D"/>
    <w:multiLevelType w:val="hybridMultilevel"/>
    <w:tmpl w:val="F4B2EB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BED384D"/>
    <w:multiLevelType w:val="hybridMultilevel"/>
    <w:tmpl w:val="94C23F9C"/>
    <w:lvl w:ilvl="0" w:tplc="A0FA38AA">
      <w:start w:val="1"/>
      <w:numFmt w:val="bullet"/>
      <w:pStyle w:val="Bullet-2bulletslist"/>
      <w:lvlText w:val=""/>
      <w:lvlJc w:val="left"/>
      <w:pPr>
        <w:ind w:left="284" w:hanging="284"/>
      </w:pPr>
      <w:rPr>
        <w:rFonts w:ascii="Symbol" w:hAnsi="Symbol" w:hint="default"/>
        <w:color w:val="0090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C640990"/>
    <w:multiLevelType w:val="hybridMultilevel"/>
    <w:tmpl w:val="1EFC0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F43284A"/>
    <w:multiLevelType w:val="hybridMultilevel"/>
    <w:tmpl w:val="A03ED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327878"/>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60C0573"/>
    <w:multiLevelType w:val="hybridMultilevel"/>
    <w:tmpl w:val="9F2E40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E3E7753"/>
    <w:multiLevelType w:val="hybridMultilevel"/>
    <w:tmpl w:val="5334844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F3E3966"/>
    <w:multiLevelType w:val="hybridMultilevel"/>
    <w:tmpl w:val="7D523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0838FD"/>
    <w:multiLevelType w:val="hybridMultilevel"/>
    <w:tmpl w:val="02E6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F22F0C"/>
    <w:multiLevelType w:val="hybridMultilevel"/>
    <w:tmpl w:val="042C6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6649E5"/>
    <w:multiLevelType w:val="hybridMultilevel"/>
    <w:tmpl w:val="390E2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E1B72BC"/>
    <w:multiLevelType w:val="hybridMultilevel"/>
    <w:tmpl w:val="B6C2C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E6E7B67"/>
    <w:multiLevelType w:val="hybridMultilevel"/>
    <w:tmpl w:val="EEFA9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086429C"/>
    <w:multiLevelType w:val="hybridMultilevel"/>
    <w:tmpl w:val="56DA7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6B58CE"/>
    <w:multiLevelType w:val="hybridMultilevel"/>
    <w:tmpl w:val="34784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665F35"/>
    <w:multiLevelType w:val="hybridMultilevel"/>
    <w:tmpl w:val="82D22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E161C26"/>
    <w:multiLevelType w:val="hybridMultilevel"/>
    <w:tmpl w:val="3708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534EED"/>
    <w:multiLevelType w:val="hybridMultilevel"/>
    <w:tmpl w:val="5C34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1F3518F"/>
    <w:multiLevelType w:val="hybridMultilevel"/>
    <w:tmpl w:val="33780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81104C4"/>
    <w:multiLevelType w:val="hybridMultilevel"/>
    <w:tmpl w:val="F3825032"/>
    <w:lvl w:ilvl="0" w:tplc="89EA55CE">
      <w:start w:val="1"/>
      <w:numFmt w:val="bullet"/>
      <w:lvlText w:val=""/>
      <w:lvlJc w:val="left"/>
      <w:pPr>
        <w:ind w:left="720" w:hanging="360"/>
      </w:pPr>
      <w:rPr>
        <w:rFonts w:ascii="Symbol" w:hAnsi="Symbol" w:hint="default"/>
      </w:rPr>
    </w:lvl>
    <w:lvl w:ilvl="1" w:tplc="59685F20" w:tentative="1">
      <w:start w:val="1"/>
      <w:numFmt w:val="bullet"/>
      <w:lvlText w:val="o"/>
      <w:lvlJc w:val="left"/>
      <w:pPr>
        <w:ind w:left="1440" w:hanging="360"/>
      </w:pPr>
      <w:rPr>
        <w:rFonts w:ascii="Courier New" w:hAnsi="Courier New" w:cs="Courier New" w:hint="default"/>
      </w:rPr>
    </w:lvl>
    <w:lvl w:ilvl="2" w:tplc="E1F4D14A" w:tentative="1">
      <w:start w:val="1"/>
      <w:numFmt w:val="bullet"/>
      <w:lvlText w:val=""/>
      <w:lvlJc w:val="left"/>
      <w:pPr>
        <w:ind w:left="2160" w:hanging="360"/>
      </w:pPr>
      <w:rPr>
        <w:rFonts w:ascii="Wingdings" w:hAnsi="Wingdings" w:hint="default"/>
      </w:rPr>
    </w:lvl>
    <w:lvl w:ilvl="3" w:tplc="BBB83B86" w:tentative="1">
      <w:start w:val="1"/>
      <w:numFmt w:val="bullet"/>
      <w:lvlText w:val=""/>
      <w:lvlJc w:val="left"/>
      <w:pPr>
        <w:ind w:left="2880" w:hanging="360"/>
      </w:pPr>
      <w:rPr>
        <w:rFonts w:ascii="Symbol" w:hAnsi="Symbol" w:hint="default"/>
      </w:rPr>
    </w:lvl>
    <w:lvl w:ilvl="4" w:tplc="E206C5B0" w:tentative="1">
      <w:start w:val="1"/>
      <w:numFmt w:val="bullet"/>
      <w:lvlText w:val="o"/>
      <w:lvlJc w:val="left"/>
      <w:pPr>
        <w:ind w:left="3600" w:hanging="360"/>
      </w:pPr>
      <w:rPr>
        <w:rFonts w:ascii="Courier New" w:hAnsi="Courier New" w:cs="Courier New" w:hint="default"/>
      </w:rPr>
    </w:lvl>
    <w:lvl w:ilvl="5" w:tplc="899CB412" w:tentative="1">
      <w:start w:val="1"/>
      <w:numFmt w:val="bullet"/>
      <w:lvlText w:val=""/>
      <w:lvlJc w:val="left"/>
      <w:pPr>
        <w:ind w:left="4320" w:hanging="360"/>
      </w:pPr>
      <w:rPr>
        <w:rFonts w:ascii="Wingdings" w:hAnsi="Wingdings" w:hint="default"/>
      </w:rPr>
    </w:lvl>
    <w:lvl w:ilvl="6" w:tplc="85B020FE" w:tentative="1">
      <w:start w:val="1"/>
      <w:numFmt w:val="bullet"/>
      <w:lvlText w:val=""/>
      <w:lvlJc w:val="left"/>
      <w:pPr>
        <w:ind w:left="5040" w:hanging="360"/>
      </w:pPr>
      <w:rPr>
        <w:rFonts w:ascii="Symbol" w:hAnsi="Symbol" w:hint="default"/>
      </w:rPr>
    </w:lvl>
    <w:lvl w:ilvl="7" w:tplc="26EA69B4" w:tentative="1">
      <w:start w:val="1"/>
      <w:numFmt w:val="bullet"/>
      <w:lvlText w:val="o"/>
      <w:lvlJc w:val="left"/>
      <w:pPr>
        <w:ind w:left="5760" w:hanging="360"/>
      </w:pPr>
      <w:rPr>
        <w:rFonts w:ascii="Courier New" w:hAnsi="Courier New" w:cs="Courier New" w:hint="default"/>
      </w:rPr>
    </w:lvl>
    <w:lvl w:ilvl="8" w:tplc="8EFCF6CE" w:tentative="1">
      <w:start w:val="1"/>
      <w:numFmt w:val="bullet"/>
      <w:lvlText w:val=""/>
      <w:lvlJc w:val="left"/>
      <w:pPr>
        <w:ind w:left="6480" w:hanging="360"/>
      </w:pPr>
      <w:rPr>
        <w:rFonts w:ascii="Wingdings" w:hAnsi="Wingdings" w:hint="default"/>
      </w:rPr>
    </w:lvl>
  </w:abstractNum>
  <w:abstractNum w:abstractNumId="52" w15:restartNumberingAfterBreak="0">
    <w:nsid w:val="79BF7904"/>
    <w:multiLevelType w:val="hybridMultilevel"/>
    <w:tmpl w:val="E64E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C843FA"/>
    <w:multiLevelType w:val="hybridMultilevel"/>
    <w:tmpl w:val="0D9A0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B2B7B8A"/>
    <w:multiLevelType w:val="hybridMultilevel"/>
    <w:tmpl w:val="96C21964"/>
    <w:lvl w:ilvl="0" w:tplc="118C79C2">
      <w:start w:val="1"/>
      <w:numFmt w:val="bullet"/>
      <w:lvlText w:val=""/>
      <w:lvlJc w:val="left"/>
      <w:pPr>
        <w:ind w:left="720" w:hanging="360"/>
      </w:pPr>
      <w:rPr>
        <w:rFonts w:ascii="Symbol" w:hAnsi="Symbol" w:hint="default"/>
      </w:rPr>
    </w:lvl>
    <w:lvl w:ilvl="1" w:tplc="705CFC8C">
      <w:start w:val="1"/>
      <w:numFmt w:val="bullet"/>
      <w:lvlText w:val="o"/>
      <w:lvlJc w:val="left"/>
      <w:pPr>
        <w:ind w:left="1440" w:hanging="360"/>
      </w:pPr>
      <w:rPr>
        <w:rFonts w:ascii="Courier New" w:hAnsi="Courier New" w:cs="Courier New" w:hint="default"/>
      </w:rPr>
    </w:lvl>
    <w:lvl w:ilvl="2" w:tplc="3C5AA7C8">
      <w:start w:val="1"/>
      <w:numFmt w:val="bullet"/>
      <w:lvlText w:val=""/>
      <w:lvlJc w:val="left"/>
      <w:pPr>
        <w:ind w:left="2160" w:hanging="360"/>
      </w:pPr>
      <w:rPr>
        <w:rFonts w:ascii="Wingdings" w:hAnsi="Wingdings" w:hint="default"/>
      </w:rPr>
    </w:lvl>
    <w:lvl w:ilvl="3" w:tplc="2F068574">
      <w:start w:val="1"/>
      <w:numFmt w:val="bullet"/>
      <w:lvlText w:val=""/>
      <w:lvlJc w:val="left"/>
      <w:pPr>
        <w:ind w:left="2880" w:hanging="360"/>
      </w:pPr>
      <w:rPr>
        <w:rFonts w:ascii="Symbol" w:hAnsi="Symbol" w:hint="default"/>
      </w:rPr>
    </w:lvl>
    <w:lvl w:ilvl="4" w:tplc="2594EA20">
      <w:start w:val="1"/>
      <w:numFmt w:val="bullet"/>
      <w:lvlText w:val="o"/>
      <w:lvlJc w:val="left"/>
      <w:pPr>
        <w:ind w:left="3600" w:hanging="360"/>
      </w:pPr>
      <w:rPr>
        <w:rFonts w:ascii="Courier New" w:hAnsi="Courier New" w:cs="Courier New" w:hint="default"/>
      </w:rPr>
    </w:lvl>
    <w:lvl w:ilvl="5" w:tplc="8222C894">
      <w:start w:val="1"/>
      <w:numFmt w:val="bullet"/>
      <w:lvlText w:val=""/>
      <w:lvlJc w:val="left"/>
      <w:pPr>
        <w:ind w:left="4320" w:hanging="360"/>
      </w:pPr>
      <w:rPr>
        <w:rFonts w:ascii="Wingdings" w:hAnsi="Wingdings" w:hint="default"/>
      </w:rPr>
    </w:lvl>
    <w:lvl w:ilvl="6" w:tplc="8DA43A38">
      <w:start w:val="1"/>
      <w:numFmt w:val="bullet"/>
      <w:lvlText w:val=""/>
      <w:lvlJc w:val="left"/>
      <w:pPr>
        <w:ind w:left="5040" w:hanging="360"/>
      </w:pPr>
      <w:rPr>
        <w:rFonts w:ascii="Symbol" w:hAnsi="Symbol" w:hint="default"/>
      </w:rPr>
    </w:lvl>
    <w:lvl w:ilvl="7" w:tplc="D1485B3A">
      <w:start w:val="1"/>
      <w:numFmt w:val="bullet"/>
      <w:lvlText w:val="o"/>
      <w:lvlJc w:val="left"/>
      <w:pPr>
        <w:ind w:left="5760" w:hanging="360"/>
      </w:pPr>
      <w:rPr>
        <w:rFonts w:ascii="Courier New" w:hAnsi="Courier New" w:cs="Courier New" w:hint="default"/>
      </w:rPr>
    </w:lvl>
    <w:lvl w:ilvl="8" w:tplc="18664904">
      <w:start w:val="1"/>
      <w:numFmt w:val="bullet"/>
      <w:lvlText w:val=""/>
      <w:lvlJc w:val="left"/>
      <w:pPr>
        <w:ind w:left="6480" w:hanging="360"/>
      </w:pPr>
      <w:rPr>
        <w:rFonts w:ascii="Wingdings" w:hAnsi="Wingdings" w:hint="default"/>
      </w:rPr>
    </w:lvl>
  </w:abstractNum>
  <w:abstractNum w:abstractNumId="55" w15:restartNumberingAfterBreak="0">
    <w:nsid w:val="7C286135"/>
    <w:multiLevelType w:val="hybridMultilevel"/>
    <w:tmpl w:val="E2241D38"/>
    <w:lvl w:ilvl="0" w:tplc="9A402BCE">
      <w:start w:val="1"/>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CEB0E5B"/>
    <w:multiLevelType w:val="hybridMultilevel"/>
    <w:tmpl w:val="C5747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F8612C3"/>
    <w:multiLevelType w:val="hybridMultilevel"/>
    <w:tmpl w:val="E7822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0914645">
    <w:abstractNumId w:val="1"/>
  </w:num>
  <w:num w:numId="2" w16cid:durableId="233466452">
    <w:abstractNumId w:val="33"/>
  </w:num>
  <w:num w:numId="3" w16cid:durableId="180977020">
    <w:abstractNumId w:val="36"/>
  </w:num>
  <w:num w:numId="4" w16cid:durableId="2133205413">
    <w:abstractNumId w:val="55"/>
  </w:num>
  <w:num w:numId="5" w16cid:durableId="1456757873">
    <w:abstractNumId w:val="28"/>
  </w:num>
  <w:num w:numId="6" w16cid:durableId="382681036">
    <w:abstractNumId w:val="22"/>
  </w:num>
  <w:num w:numId="7" w16cid:durableId="1133331789">
    <w:abstractNumId w:val="43"/>
  </w:num>
  <w:num w:numId="8" w16cid:durableId="514343351">
    <w:abstractNumId w:val="37"/>
  </w:num>
  <w:num w:numId="9" w16cid:durableId="1699771933">
    <w:abstractNumId w:val="6"/>
  </w:num>
  <w:num w:numId="10" w16cid:durableId="1001277932">
    <w:abstractNumId w:val="30"/>
  </w:num>
  <w:num w:numId="11" w16cid:durableId="1507595349">
    <w:abstractNumId w:val="32"/>
  </w:num>
  <w:num w:numId="12" w16cid:durableId="445540554">
    <w:abstractNumId w:val="47"/>
  </w:num>
  <w:num w:numId="13" w16cid:durableId="1492989428">
    <w:abstractNumId w:val="13"/>
  </w:num>
  <w:num w:numId="14" w16cid:durableId="1128933669">
    <w:abstractNumId w:val="15"/>
  </w:num>
  <w:num w:numId="15" w16cid:durableId="404108702">
    <w:abstractNumId w:val="25"/>
  </w:num>
  <w:num w:numId="16" w16cid:durableId="2060007293">
    <w:abstractNumId w:val="51"/>
  </w:num>
  <w:num w:numId="17" w16cid:durableId="1325935406">
    <w:abstractNumId w:val="26"/>
  </w:num>
  <w:num w:numId="18" w16cid:durableId="1031878650">
    <w:abstractNumId w:val="12"/>
  </w:num>
  <w:num w:numId="19" w16cid:durableId="1583949553">
    <w:abstractNumId w:val="18"/>
  </w:num>
  <w:num w:numId="20" w16cid:durableId="126512806">
    <w:abstractNumId w:val="14"/>
  </w:num>
  <w:num w:numId="21" w16cid:durableId="1082068591">
    <w:abstractNumId w:val="56"/>
  </w:num>
  <w:num w:numId="22" w16cid:durableId="1488203417">
    <w:abstractNumId w:val="42"/>
  </w:num>
  <w:num w:numId="23" w16cid:durableId="1642733689">
    <w:abstractNumId w:val="23"/>
  </w:num>
  <w:num w:numId="24" w16cid:durableId="1698307396">
    <w:abstractNumId w:val="38"/>
  </w:num>
  <w:num w:numId="25" w16cid:durableId="1967542173">
    <w:abstractNumId w:val="48"/>
  </w:num>
  <w:num w:numId="26" w16cid:durableId="983974939">
    <w:abstractNumId w:val="49"/>
  </w:num>
  <w:num w:numId="27" w16cid:durableId="1154954981">
    <w:abstractNumId w:val="19"/>
  </w:num>
  <w:num w:numId="28" w16cid:durableId="757559939">
    <w:abstractNumId w:val="45"/>
  </w:num>
  <w:num w:numId="29" w16cid:durableId="1329626707">
    <w:abstractNumId w:val="5"/>
  </w:num>
  <w:num w:numId="30" w16cid:durableId="714818310">
    <w:abstractNumId w:val="57"/>
  </w:num>
  <w:num w:numId="31" w16cid:durableId="352610651">
    <w:abstractNumId w:val="3"/>
  </w:num>
  <w:num w:numId="32" w16cid:durableId="1581670651">
    <w:abstractNumId w:val="34"/>
  </w:num>
  <w:num w:numId="33" w16cid:durableId="848836931">
    <w:abstractNumId w:val="0"/>
  </w:num>
  <w:num w:numId="34" w16cid:durableId="495927380">
    <w:abstractNumId w:val="21"/>
  </w:num>
  <w:num w:numId="35" w16cid:durableId="1892225538">
    <w:abstractNumId w:val="2"/>
  </w:num>
  <w:num w:numId="36" w16cid:durableId="1320696042">
    <w:abstractNumId w:val="17"/>
  </w:num>
  <w:num w:numId="37" w16cid:durableId="1021591405">
    <w:abstractNumId w:val="52"/>
  </w:num>
  <w:num w:numId="38" w16cid:durableId="551233234">
    <w:abstractNumId w:val="4"/>
  </w:num>
  <w:num w:numId="39" w16cid:durableId="1799033297">
    <w:abstractNumId w:val="27"/>
  </w:num>
  <w:num w:numId="40" w16cid:durableId="543949192">
    <w:abstractNumId w:val="46"/>
  </w:num>
  <w:num w:numId="41" w16cid:durableId="697437140">
    <w:abstractNumId w:val="50"/>
  </w:num>
  <w:num w:numId="42" w16cid:durableId="436603938">
    <w:abstractNumId w:val="7"/>
  </w:num>
  <w:num w:numId="43" w16cid:durableId="1930695968">
    <w:abstractNumId w:val="24"/>
  </w:num>
  <w:num w:numId="44" w16cid:durableId="785151071">
    <w:abstractNumId w:val="35"/>
  </w:num>
  <w:num w:numId="45" w16cid:durableId="728580128">
    <w:abstractNumId w:val="41"/>
  </w:num>
  <w:num w:numId="46" w16cid:durableId="1981689207">
    <w:abstractNumId w:val="53"/>
  </w:num>
  <w:num w:numId="47" w16cid:durableId="1978029775">
    <w:abstractNumId w:val="11"/>
  </w:num>
  <w:num w:numId="48" w16cid:durableId="685712825">
    <w:abstractNumId w:val="44"/>
  </w:num>
  <w:num w:numId="49" w16cid:durableId="1272593745">
    <w:abstractNumId w:val="54"/>
  </w:num>
  <w:num w:numId="50" w16cid:durableId="265888815">
    <w:abstractNumId w:val="40"/>
  </w:num>
  <w:num w:numId="51" w16cid:durableId="354691021">
    <w:abstractNumId w:val="10"/>
  </w:num>
  <w:num w:numId="52" w16cid:durableId="784466023">
    <w:abstractNumId w:val="20"/>
  </w:num>
  <w:num w:numId="53" w16cid:durableId="1421756168">
    <w:abstractNumId w:val="39"/>
  </w:num>
  <w:num w:numId="54" w16cid:durableId="1617102962">
    <w:abstractNumId w:val="16"/>
  </w:num>
  <w:num w:numId="55" w16cid:durableId="1681420857">
    <w:abstractNumId w:val="29"/>
  </w:num>
  <w:num w:numId="56" w16cid:durableId="10224183">
    <w:abstractNumId w:val="8"/>
  </w:num>
  <w:num w:numId="57" w16cid:durableId="1938442539">
    <w:abstractNumId w:val="31"/>
  </w:num>
  <w:num w:numId="58" w16cid:durableId="357775026">
    <w:abstractNumId w:val="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Uks0DVGav28pei9FTu4eYrKR7dU3i2ddnHUmCPsNF2SzEfNkw9baPgu/B48NHW9ZzGVEanMJ87vDW2Ujypn+Jg==" w:salt="gtaSGp2ePbAw34EmOmcmfA=="/>
  <w:defaultTabStop w:val="17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853"/>
    <w:rsid w:val="0000030A"/>
    <w:rsid w:val="0000035C"/>
    <w:rsid w:val="0000060D"/>
    <w:rsid w:val="00000663"/>
    <w:rsid w:val="00000759"/>
    <w:rsid w:val="0000182C"/>
    <w:rsid w:val="000019F8"/>
    <w:rsid w:val="00001C30"/>
    <w:rsid w:val="00002775"/>
    <w:rsid w:val="0000331D"/>
    <w:rsid w:val="000036EB"/>
    <w:rsid w:val="00003B0A"/>
    <w:rsid w:val="00004048"/>
    <w:rsid w:val="00004355"/>
    <w:rsid w:val="00004450"/>
    <w:rsid w:val="0000449B"/>
    <w:rsid w:val="00004B05"/>
    <w:rsid w:val="00004DD0"/>
    <w:rsid w:val="000053C8"/>
    <w:rsid w:val="000055D1"/>
    <w:rsid w:val="00005C32"/>
    <w:rsid w:val="00005C35"/>
    <w:rsid w:val="00006192"/>
    <w:rsid w:val="00006758"/>
    <w:rsid w:val="00006A8C"/>
    <w:rsid w:val="00006C69"/>
    <w:rsid w:val="00007187"/>
    <w:rsid w:val="0000726B"/>
    <w:rsid w:val="000073E2"/>
    <w:rsid w:val="0000758E"/>
    <w:rsid w:val="000079B6"/>
    <w:rsid w:val="00010023"/>
    <w:rsid w:val="0001030E"/>
    <w:rsid w:val="00010381"/>
    <w:rsid w:val="000105E1"/>
    <w:rsid w:val="0001133F"/>
    <w:rsid w:val="000114B3"/>
    <w:rsid w:val="00011D18"/>
    <w:rsid w:val="00012140"/>
    <w:rsid w:val="0001231D"/>
    <w:rsid w:val="00012713"/>
    <w:rsid w:val="0001280C"/>
    <w:rsid w:val="00012C62"/>
    <w:rsid w:val="00013430"/>
    <w:rsid w:val="00013BE3"/>
    <w:rsid w:val="00014162"/>
    <w:rsid w:val="000141E3"/>
    <w:rsid w:val="00014262"/>
    <w:rsid w:val="000145AC"/>
    <w:rsid w:val="00014DA1"/>
    <w:rsid w:val="00015508"/>
    <w:rsid w:val="00015816"/>
    <w:rsid w:val="0001589D"/>
    <w:rsid w:val="00015E5F"/>
    <w:rsid w:val="0001614E"/>
    <w:rsid w:val="00017048"/>
    <w:rsid w:val="00017104"/>
    <w:rsid w:val="00017850"/>
    <w:rsid w:val="0002042C"/>
    <w:rsid w:val="000205FF"/>
    <w:rsid w:val="00020BFD"/>
    <w:rsid w:val="0002138C"/>
    <w:rsid w:val="00021958"/>
    <w:rsid w:val="00021977"/>
    <w:rsid w:val="00021C82"/>
    <w:rsid w:val="00021F9E"/>
    <w:rsid w:val="000220FB"/>
    <w:rsid w:val="00022172"/>
    <w:rsid w:val="0002238B"/>
    <w:rsid w:val="00022524"/>
    <w:rsid w:val="000225F2"/>
    <w:rsid w:val="0002287B"/>
    <w:rsid w:val="0002291C"/>
    <w:rsid w:val="00022E19"/>
    <w:rsid w:val="00023C92"/>
    <w:rsid w:val="000241FC"/>
    <w:rsid w:val="00024275"/>
    <w:rsid w:val="000247A1"/>
    <w:rsid w:val="00025161"/>
    <w:rsid w:val="00025232"/>
    <w:rsid w:val="000258F1"/>
    <w:rsid w:val="00025FA4"/>
    <w:rsid w:val="00026458"/>
    <w:rsid w:val="00026CCC"/>
    <w:rsid w:val="00026D6D"/>
    <w:rsid w:val="00027098"/>
    <w:rsid w:val="00027A24"/>
    <w:rsid w:val="00027B69"/>
    <w:rsid w:val="00030059"/>
    <w:rsid w:val="000302D8"/>
    <w:rsid w:val="000305D9"/>
    <w:rsid w:val="00030680"/>
    <w:rsid w:val="00031020"/>
    <w:rsid w:val="0003144B"/>
    <w:rsid w:val="000317A7"/>
    <w:rsid w:val="00031824"/>
    <w:rsid w:val="00031850"/>
    <w:rsid w:val="0003232B"/>
    <w:rsid w:val="000327FA"/>
    <w:rsid w:val="00032916"/>
    <w:rsid w:val="000329B6"/>
    <w:rsid w:val="00032ACB"/>
    <w:rsid w:val="00032BFD"/>
    <w:rsid w:val="00034CC5"/>
    <w:rsid w:val="00035125"/>
    <w:rsid w:val="0003545E"/>
    <w:rsid w:val="00035D95"/>
    <w:rsid w:val="000361E4"/>
    <w:rsid w:val="0003663E"/>
    <w:rsid w:val="000366A7"/>
    <w:rsid w:val="00036998"/>
    <w:rsid w:val="00036B6D"/>
    <w:rsid w:val="00036CED"/>
    <w:rsid w:val="00036FFE"/>
    <w:rsid w:val="00037047"/>
    <w:rsid w:val="00037333"/>
    <w:rsid w:val="00037C87"/>
    <w:rsid w:val="00037E2B"/>
    <w:rsid w:val="00037FA0"/>
    <w:rsid w:val="00037FDC"/>
    <w:rsid w:val="00040AA2"/>
    <w:rsid w:val="00041011"/>
    <w:rsid w:val="000416CE"/>
    <w:rsid w:val="00041C54"/>
    <w:rsid w:val="0004341D"/>
    <w:rsid w:val="000437B7"/>
    <w:rsid w:val="000447F9"/>
    <w:rsid w:val="00044F4F"/>
    <w:rsid w:val="00044F63"/>
    <w:rsid w:val="00046094"/>
    <w:rsid w:val="00046427"/>
    <w:rsid w:val="00046447"/>
    <w:rsid w:val="000467E3"/>
    <w:rsid w:val="000473B8"/>
    <w:rsid w:val="000473F2"/>
    <w:rsid w:val="000478F9"/>
    <w:rsid w:val="000478FD"/>
    <w:rsid w:val="00047EB5"/>
    <w:rsid w:val="00050070"/>
    <w:rsid w:val="000500EF"/>
    <w:rsid w:val="000503DF"/>
    <w:rsid w:val="000506E1"/>
    <w:rsid w:val="00050766"/>
    <w:rsid w:val="000514B9"/>
    <w:rsid w:val="00051603"/>
    <w:rsid w:val="00051BED"/>
    <w:rsid w:val="000522AB"/>
    <w:rsid w:val="000525EB"/>
    <w:rsid w:val="0005296D"/>
    <w:rsid w:val="00052F99"/>
    <w:rsid w:val="000534B6"/>
    <w:rsid w:val="00053B14"/>
    <w:rsid w:val="00054C1A"/>
    <w:rsid w:val="000552AE"/>
    <w:rsid w:val="0005537F"/>
    <w:rsid w:val="000553AE"/>
    <w:rsid w:val="00055854"/>
    <w:rsid w:val="00055DF2"/>
    <w:rsid w:val="00056907"/>
    <w:rsid w:val="00057316"/>
    <w:rsid w:val="00057345"/>
    <w:rsid w:val="00057428"/>
    <w:rsid w:val="00057805"/>
    <w:rsid w:val="00057C19"/>
    <w:rsid w:val="00057E5F"/>
    <w:rsid w:val="000603D9"/>
    <w:rsid w:val="00060618"/>
    <w:rsid w:val="000606D8"/>
    <w:rsid w:val="00060BAD"/>
    <w:rsid w:val="00060BF9"/>
    <w:rsid w:val="00060D2A"/>
    <w:rsid w:val="00060EF0"/>
    <w:rsid w:val="000611CC"/>
    <w:rsid w:val="000614DD"/>
    <w:rsid w:val="0006243B"/>
    <w:rsid w:val="0006290A"/>
    <w:rsid w:val="00062C79"/>
    <w:rsid w:val="00063C51"/>
    <w:rsid w:val="000645F9"/>
    <w:rsid w:val="00064E4D"/>
    <w:rsid w:val="00064F62"/>
    <w:rsid w:val="000650F4"/>
    <w:rsid w:val="00065BCC"/>
    <w:rsid w:val="00065FA5"/>
    <w:rsid w:val="00066294"/>
    <w:rsid w:val="0006648C"/>
    <w:rsid w:val="0006654E"/>
    <w:rsid w:val="00066829"/>
    <w:rsid w:val="00066B33"/>
    <w:rsid w:val="00066D00"/>
    <w:rsid w:val="000674B2"/>
    <w:rsid w:val="00067DFE"/>
    <w:rsid w:val="00070057"/>
    <w:rsid w:val="000700EC"/>
    <w:rsid w:val="00070619"/>
    <w:rsid w:val="00070BDE"/>
    <w:rsid w:val="00070D40"/>
    <w:rsid w:val="00071061"/>
    <w:rsid w:val="00071CE7"/>
    <w:rsid w:val="00071E0A"/>
    <w:rsid w:val="00071E11"/>
    <w:rsid w:val="00072883"/>
    <w:rsid w:val="00072C93"/>
    <w:rsid w:val="00072F2F"/>
    <w:rsid w:val="000739E6"/>
    <w:rsid w:val="00073B7A"/>
    <w:rsid w:val="00073CE2"/>
    <w:rsid w:val="00074412"/>
    <w:rsid w:val="00074954"/>
    <w:rsid w:val="00075816"/>
    <w:rsid w:val="00075A37"/>
    <w:rsid w:val="0007648A"/>
    <w:rsid w:val="000765EF"/>
    <w:rsid w:val="0007677C"/>
    <w:rsid w:val="000769D3"/>
    <w:rsid w:val="00076F5C"/>
    <w:rsid w:val="00077C97"/>
    <w:rsid w:val="00077CCA"/>
    <w:rsid w:val="00077F9E"/>
    <w:rsid w:val="00080456"/>
    <w:rsid w:val="000808C5"/>
    <w:rsid w:val="00080CC4"/>
    <w:rsid w:val="00080ED3"/>
    <w:rsid w:val="00080EE6"/>
    <w:rsid w:val="0008107E"/>
    <w:rsid w:val="000811F4"/>
    <w:rsid w:val="00081439"/>
    <w:rsid w:val="00081BD8"/>
    <w:rsid w:val="00081DEB"/>
    <w:rsid w:val="00082A5A"/>
    <w:rsid w:val="00082C8B"/>
    <w:rsid w:val="00082CDC"/>
    <w:rsid w:val="00082DDD"/>
    <w:rsid w:val="00083BB4"/>
    <w:rsid w:val="00083DA4"/>
    <w:rsid w:val="000843BC"/>
    <w:rsid w:val="00084579"/>
    <w:rsid w:val="00084CCA"/>
    <w:rsid w:val="00084CDF"/>
    <w:rsid w:val="0008500F"/>
    <w:rsid w:val="000856E0"/>
    <w:rsid w:val="000857DD"/>
    <w:rsid w:val="00085AAA"/>
    <w:rsid w:val="00085B3D"/>
    <w:rsid w:val="000869FF"/>
    <w:rsid w:val="00086F3F"/>
    <w:rsid w:val="000871E3"/>
    <w:rsid w:val="0008763E"/>
    <w:rsid w:val="000878DB"/>
    <w:rsid w:val="000906A7"/>
    <w:rsid w:val="00090768"/>
    <w:rsid w:val="00090BB6"/>
    <w:rsid w:val="00091556"/>
    <w:rsid w:val="00091D70"/>
    <w:rsid w:val="00091F2E"/>
    <w:rsid w:val="00092591"/>
    <w:rsid w:val="00092F2A"/>
    <w:rsid w:val="00092F2C"/>
    <w:rsid w:val="00093411"/>
    <w:rsid w:val="00093C4C"/>
    <w:rsid w:val="00094201"/>
    <w:rsid w:val="0009446C"/>
    <w:rsid w:val="00094D9B"/>
    <w:rsid w:val="00095907"/>
    <w:rsid w:val="000959C7"/>
    <w:rsid w:val="000960D9"/>
    <w:rsid w:val="00096175"/>
    <w:rsid w:val="000967C5"/>
    <w:rsid w:val="00096911"/>
    <w:rsid w:val="00096BF6"/>
    <w:rsid w:val="00097D74"/>
    <w:rsid w:val="00097D7C"/>
    <w:rsid w:val="000A0294"/>
    <w:rsid w:val="000A0938"/>
    <w:rsid w:val="000A0BFB"/>
    <w:rsid w:val="000A0F14"/>
    <w:rsid w:val="000A1031"/>
    <w:rsid w:val="000A1AC6"/>
    <w:rsid w:val="000A227F"/>
    <w:rsid w:val="000A2623"/>
    <w:rsid w:val="000A299E"/>
    <w:rsid w:val="000A2D89"/>
    <w:rsid w:val="000A2EE5"/>
    <w:rsid w:val="000A30F0"/>
    <w:rsid w:val="000A3829"/>
    <w:rsid w:val="000A3A12"/>
    <w:rsid w:val="000A3EEF"/>
    <w:rsid w:val="000A4561"/>
    <w:rsid w:val="000A45B1"/>
    <w:rsid w:val="000A47D7"/>
    <w:rsid w:val="000A48CE"/>
    <w:rsid w:val="000A4A3A"/>
    <w:rsid w:val="000A5A34"/>
    <w:rsid w:val="000A5B39"/>
    <w:rsid w:val="000A681E"/>
    <w:rsid w:val="000A6872"/>
    <w:rsid w:val="000A69D3"/>
    <w:rsid w:val="000A6DC8"/>
    <w:rsid w:val="000A6DF1"/>
    <w:rsid w:val="000A72F1"/>
    <w:rsid w:val="000A7810"/>
    <w:rsid w:val="000A7C4F"/>
    <w:rsid w:val="000B0BAC"/>
    <w:rsid w:val="000B116F"/>
    <w:rsid w:val="000B11D9"/>
    <w:rsid w:val="000B123F"/>
    <w:rsid w:val="000B1CCB"/>
    <w:rsid w:val="000B20E1"/>
    <w:rsid w:val="000B2434"/>
    <w:rsid w:val="000B28FC"/>
    <w:rsid w:val="000B29CF"/>
    <w:rsid w:val="000B3371"/>
    <w:rsid w:val="000B367B"/>
    <w:rsid w:val="000B3831"/>
    <w:rsid w:val="000B3A7A"/>
    <w:rsid w:val="000B3B22"/>
    <w:rsid w:val="000B3B4C"/>
    <w:rsid w:val="000B418F"/>
    <w:rsid w:val="000B541B"/>
    <w:rsid w:val="000B5703"/>
    <w:rsid w:val="000B5A07"/>
    <w:rsid w:val="000B5AD9"/>
    <w:rsid w:val="000B5E79"/>
    <w:rsid w:val="000B6599"/>
    <w:rsid w:val="000B68DF"/>
    <w:rsid w:val="000B7975"/>
    <w:rsid w:val="000B7C3F"/>
    <w:rsid w:val="000B7F33"/>
    <w:rsid w:val="000C0D44"/>
    <w:rsid w:val="000C0DC9"/>
    <w:rsid w:val="000C0DD5"/>
    <w:rsid w:val="000C0E78"/>
    <w:rsid w:val="000C0EAA"/>
    <w:rsid w:val="000C0F2B"/>
    <w:rsid w:val="000C1455"/>
    <w:rsid w:val="000C1B98"/>
    <w:rsid w:val="000C21B8"/>
    <w:rsid w:val="000C2954"/>
    <w:rsid w:val="000C2B95"/>
    <w:rsid w:val="000C2E98"/>
    <w:rsid w:val="000C3668"/>
    <w:rsid w:val="000C372A"/>
    <w:rsid w:val="000C3C15"/>
    <w:rsid w:val="000C4314"/>
    <w:rsid w:val="000C4B2C"/>
    <w:rsid w:val="000C5864"/>
    <w:rsid w:val="000C5975"/>
    <w:rsid w:val="000C59EC"/>
    <w:rsid w:val="000C5A8D"/>
    <w:rsid w:val="000C609C"/>
    <w:rsid w:val="000C63C0"/>
    <w:rsid w:val="000C63DA"/>
    <w:rsid w:val="000C6872"/>
    <w:rsid w:val="000C6BD4"/>
    <w:rsid w:val="000D0008"/>
    <w:rsid w:val="000D043F"/>
    <w:rsid w:val="000D1108"/>
    <w:rsid w:val="000D12E1"/>
    <w:rsid w:val="000D1B02"/>
    <w:rsid w:val="000D1D79"/>
    <w:rsid w:val="000D2795"/>
    <w:rsid w:val="000D2ABF"/>
    <w:rsid w:val="000D2F21"/>
    <w:rsid w:val="000D3258"/>
    <w:rsid w:val="000D32BC"/>
    <w:rsid w:val="000D3DF8"/>
    <w:rsid w:val="000D4217"/>
    <w:rsid w:val="000D49AC"/>
    <w:rsid w:val="000D4D1E"/>
    <w:rsid w:val="000D51D5"/>
    <w:rsid w:val="000D533C"/>
    <w:rsid w:val="000D5391"/>
    <w:rsid w:val="000D581F"/>
    <w:rsid w:val="000D5902"/>
    <w:rsid w:val="000D65AB"/>
    <w:rsid w:val="000D6796"/>
    <w:rsid w:val="000D6D74"/>
    <w:rsid w:val="000D72EA"/>
    <w:rsid w:val="000D7463"/>
    <w:rsid w:val="000D758B"/>
    <w:rsid w:val="000D7A6C"/>
    <w:rsid w:val="000D7BE8"/>
    <w:rsid w:val="000E00E0"/>
    <w:rsid w:val="000E0102"/>
    <w:rsid w:val="000E01A8"/>
    <w:rsid w:val="000E0213"/>
    <w:rsid w:val="000E026D"/>
    <w:rsid w:val="000E0955"/>
    <w:rsid w:val="000E0CAF"/>
    <w:rsid w:val="000E0CC6"/>
    <w:rsid w:val="000E0EA7"/>
    <w:rsid w:val="000E132A"/>
    <w:rsid w:val="000E1394"/>
    <w:rsid w:val="000E1772"/>
    <w:rsid w:val="000E17F0"/>
    <w:rsid w:val="000E1D35"/>
    <w:rsid w:val="000E210E"/>
    <w:rsid w:val="000E2245"/>
    <w:rsid w:val="000E2BCD"/>
    <w:rsid w:val="000E2D66"/>
    <w:rsid w:val="000E2D68"/>
    <w:rsid w:val="000E325A"/>
    <w:rsid w:val="000E332E"/>
    <w:rsid w:val="000E3B05"/>
    <w:rsid w:val="000E3DFF"/>
    <w:rsid w:val="000E3E14"/>
    <w:rsid w:val="000E3ED3"/>
    <w:rsid w:val="000E4F6F"/>
    <w:rsid w:val="000E63B2"/>
    <w:rsid w:val="000E69B6"/>
    <w:rsid w:val="000E6FC3"/>
    <w:rsid w:val="000E749A"/>
    <w:rsid w:val="000E7D83"/>
    <w:rsid w:val="000E7FDD"/>
    <w:rsid w:val="000F0213"/>
    <w:rsid w:val="000F024C"/>
    <w:rsid w:val="000F0BBF"/>
    <w:rsid w:val="000F0DAA"/>
    <w:rsid w:val="000F150D"/>
    <w:rsid w:val="000F1845"/>
    <w:rsid w:val="000F1956"/>
    <w:rsid w:val="000F1ABE"/>
    <w:rsid w:val="000F24ED"/>
    <w:rsid w:val="000F2D52"/>
    <w:rsid w:val="000F31D9"/>
    <w:rsid w:val="000F3282"/>
    <w:rsid w:val="000F388F"/>
    <w:rsid w:val="000F396E"/>
    <w:rsid w:val="000F3AE8"/>
    <w:rsid w:val="000F43E2"/>
    <w:rsid w:val="000F4B29"/>
    <w:rsid w:val="000F4FA0"/>
    <w:rsid w:val="000F5072"/>
    <w:rsid w:val="000F613D"/>
    <w:rsid w:val="000F618C"/>
    <w:rsid w:val="000F69FD"/>
    <w:rsid w:val="000F732B"/>
    <w:rsid w:val="000F7790"/>
    <w:rsid w:val="00100164"/>
    <w:rsid w:val="001001FB"/>
    <w:rsid w:val="0010039D"/>
    <w:rsid w:val="00100A15"/>
    <w:rsid w:val="00100FD8"/>
    <w:rsid w:val="001014F0"/>
    <w:rsid w:val="0010158F"/>
    <w:rsid w:val="001015E2"/>
    <w:rsid w:val="00101649"/>
    <w:rsid w:val="001016EA"/>
    <w:rsid w:val="00101A32"/>
    <w:rsid w:val="001026E7"/>
    <w:rsid w:val="00102B90"/>
    <w:rsid w:val="00102DD6"/>
    <w:rsid w:val="00102DE3"/>
    <w:rsid w:val="0010325B"/>
    <w:rsid w:val="00103571"/>
    <w:rsid w:val="00103636"/>
    <w:rsid w:val="0010379D"/>
    <w:rsid w:val="00104217"/>
    <w:rsid w:val="0010494A"/>
    <w:rsid w:val="00104C52"/>
    <w:rsid w:val="00105899"/>
    <w:rsid w:val="001058BC"/>
    <w:rsid w:val="00105CC2"/>
    <w:rsid w:val="00106E5A"/>
    <w:rsid w:val="001072C9"/>
    <w:rsid w:val="00107ECE"/>
    <w:rsid w:val="00110392"/>
    <w:rsid w:val="00110674"/>
    <w:rsid w:val="001106E4"/>
    <w:rsid w:val="001109FF"/>
    <w:rsid w:val="00110B03"/>
    <w:rsid w:val="00110DFF"/>
    <w:rsid w:val="00110E64"/>
    <w:rsid w:val="00110F15"/>
    <w:rsid w:val="00111C5F"/>
    <w:rsid w:val="00111EF9"/>
    <w:rsid w:val="001120BC"/>
    <w:rsid w:val="0011306E"/>
    <w:rsid w:val="00113835"/>
    <w:rsid w:val="00113D72"/>
    <w:rsid w:val="00113D80"/>
    <w:rsid w:val="00114065"/>
    <w:rsid w:val="00114213"/>
    <w:rsid w:val="001145BE"/>
    <w:rsid w:val="001145DC"/>
    <w:rsid w:val="0011472D"/>
    <w:rsid w:val="0011491D"/>
    <w:rsid w:val="00115075"/>
    <w:rsid w:val="00115741"/>
    <w:rsid w:val="00116A02"/>
    <w:rsid w:val="001174E7"/>
    <w:rsid w:val="00117E60"/>
    <w:rsid w:val="0012077E"/>
    <w:rsid w:val="00120D4C"/>
    <w:rsid w:val="00120D7C"/>
    <w:rsid w:val="00121F24"/>
    <w:rsid w:val="0012224C"/>
    <w:rsid w:val="001222A5"/>
    <w:rsid w:val="00123082"/>
    <w:rsid w:val="001232B5"/>
    <w:rsid w:val="00123A8A"/>
    <w:rsid w:val="00123EBE"/>
    <w:rsid w:val="00124312"/>
    <w:rsid w:val="001243E7"/>
    <w:rsid w:val="00124B56"/>
    <w:rsid w:val="00124D20"/>
    <w:rsid w:val="00125E57"/>
    <w:rsid w:val="00125E89"/>
    <w:rsid w:val="00125E9F"/>
    <w:rsid w:val="00126BDB"/>
    <w:rsid w:val="00126D05"/>
    <w:rsid w:val="00126E53"/>
    <w:rsid w:val="00126FCF"/>
    <w:rsid w:val="001270D6"/>
    <w:rsid w:val="00127181"/>
    <w:rsid w:val="00127B84"/>
    <w:rsid w:val="00130066"/>
    <w:rsid w:val="00130394"/>
    <w:rsid w:val="00130E6D"/>
    <w:rsid w:val="0013113A"/>
    <w:rsid w:val="00131C4E"/>
    <w:rsid w:val="0013208D"/>
    <w:rsid w:val="001321A9"/>
    <w:rsid w:val="00132801"/>
    <w:rsid w:val="0013283A"/>
    <w:rsid w:val="001329AB"/>
    <w:rsid w:val="00132B9F"/>
    <w:rsid w:val="0013379D"/>
    <w:rsid w:val="00133AFF"/>
    <w:rsid w:val="00133BF8"/>
    <w:rsid w:val="00133D1D"/>
    <w:rsid w:val="001348AF"/>
    <w:rsid w:val="00134C95"/>
    <w:rsid w:val="00134CA8"/>
    <w:rsid w:val="001353E3"/>
    <w:rsid w:val="00136CA7"/>
    <w:rsid w:val="001370EC"/>
    <w:rsid w:val="001370F2"/>
    <w:rsid w:val="0013768B"/>
    <w:rsid w:val="0013773B"/>
    <w:rsid w:val="001378C9"/>
    <w:rsid w:val="0014082E"/>
    <w:rsid w:val="00140874"/>
    <w:rsid w:val="0014099C"/>
    <w:rsid w:val="0014256C"/>
    <w:rsid w:val="001428F3"/>
    <w:rsid w:val="001429FE"/>
    <w:rsid w:val="00143814"/>
    <w:rsid w:val="00143A0B"/>
    <w:rsid w:val="00144610"/>
    <w:rsid w:val="001448B1"/>
    <w:rsid w:val="00144960"/>
    <w:rsid w:val="00144FC7"/>
    <w:rsid w:val="001452A2"/>
    <w:rsid w:val="00145F70"/>
    <w:rsid w:val="00146382"/>
    <w:rsid w:val="00146AC1"/>
    <w:rsid w:val="00146BE9"/>
    <w:rsid w:val="00147E89"/>
    <w:rsid w:val="001502E8"/>
    <w:rsid w:val="00150BB8"/>
    <w:rsid w:val="00151355"/>
    <w:rsid w:val="00151413"/>
    <w:rsid w:val="001519A3"/>
    <w:rsid w:val="00151B80"/>
    <w:rsid w:val="00151E1D"/>
    <w:rsid w:val="001521E7"/>
    <w:rsid w:val="0015225F"/>
    <w:rsid w:val="001525B6"/>
    <w:rsid w:val="00152A24"/>
    <w:rsid w:val="00152D02"/>
    <w:rsid w:val="00152DA8"/>
    <w:rsid w:val="0015365C"/>
    <w:rsid w:val="001538EC"/>
    <w:rsid w:val="0015453B"/>
    <w:rsid w:val="001546C1"/>
    <w:rsid w:val="00154AB8"/>
    <w:rsid w:val="001555B0"/>
    <w:rsid w:val="00156345"/>
    <w:rsid w:val="001564DD"/>
    <w:rsid w:val="00156550"/>
    <w:rsid w:val="0015672A"/>
    <w:rsid w:val="001574FD"/>
    <w:rsid w:val="00157E88"/>
    <w:rsid w:val="0016026E"/>
    <w:rsid w:val="00160273"/>
    <w:rsid w:val="0016051C"/>
    <w:rsid w:val="0016067B"/>
    <w:rsid w:val="001606EE"/>
    <w:rsid w:val="0016072C"/>
    <w:rsid w:val="00160AC7"/>
    <w:rsid w:val="00161337"/>
    <w:rsid w:val="0016185A"/>
    <w:rsid w:val="00161F4B"/>
    <w:rsid w:val="0016243F"/>
    <w:rsid w:val="001629C8"/>
    <w:rsid w:val="00162C9E"/>
    <w:rsid w:val="001633A2"/>
    <w:rsid w:val="00163F92"/>
    <w:rsid w:val="00164386"/>
    <w:rsid w:val="00164453"/>
    <w:rsid w:val="0016457D"/>
    <w:rsid w:val="001645E3"/>
    <w:rsid w:val="00164680"/>
    <w:rsid w:val="001649E3"/>
    <w:rsid w:val="0016524F"/>
    <w:rsid w:val="001652DC"/>
    <w:rsid w:val="001653FF"/>
    <w:rsid w:val="0016578B"/>
    <w:rsid w:val="00165884"/>
    <w:rsid w:val="00165959"/>
    <w:rsid w:val="00165D14"/>
    <w:rsid w:val="00166079"/>
    <w:rsid w:val="00166A4A"/>
    <w:rsid w:val="00166F30"/>
    <w:rsid w:val="00167346"/>
    <w:rsid w:val="00167D43"/>
    <w:rsid w:val="00167FA1"/>
    <w:rsid w:val="001700E6"/>
    <w:rsid w:val="00170469"/>
    <w:rsid w:val="0017068D"/>
    <w:rsid w:val="00170791"/>
    <w:rsid w:val="00170B06"/>
    <w:rsid w:val="001712BF"/>
    <w:rsid w:val="00171C10"/>
    <w:rsid w:val="0017249A"/>
    <w:rsid w:val="00172A66"/>
    <w:rsid w:val="00173093"/>
    <w:rsid w:val="00173860"/>
    <w:rsid w:val="00173EA4"/>
    <w:rsid w:val="00173FAF"/>
    <w:rsid w:val="001749D4"/>
    <w:rsid w:val="00174BF9"/>
    <w:rsid w:val="00174D1A"/>
    <w:rsid w:val="00174D64"/>
    <w:rsid w:val="00174FD7"/>
    <w:rsid w:val="001750CF"/>
    <w:rsid w:val="00175289"/>
    <w:rsid w:val="001758C9"/>
    <w:rsid w:val="00175ADF"/>
    <w:rsid w:val="00175D79"/>
    <w:rsid w:val="00175F36"/>
    <w:rsid w:val="00176482"/>
    <w:rsid w:val="0017663F"/>
    <w:rsid w:val="0017694B"/>
    <w:rsid w:val="00177364"/>
    <w:rsid w:val="001774B2"/>
    <w:rsid w:val="0017750A"/>
    <w:rsid w:val="001777A4"/>
    <w:rsid w:val="00177CB8"/>
    <w:rsid w:val="00177EE9"/>
    <w:rsid w:val="00180E88"/>
    <w:rsid w:val="00181132"/>
    <w:rsid w:val="00181970"/>
    <w:rsid w:val="00181F52"/>
    <w:rsid w:val="0018246B"/>
    <w:rsid w:val="0018264E"/>
    <w:rsid w:val="00182797"/>
    <w:rsid w:val="00182C35"/>
    <w:rsid w:val="0018314C"/>
    <w:rsid w:val="00183777"/>
    <w:rsid w:val="00183B1C"/>
    <w:rsid w:val="00183C39"/>
    <w:rsid w:val="00183EA9"/>
    <w:rsid w:val="00184157"/>
    <w:rsid w:val="001847E5"/>
    <w:rsid w:val="0018498C"/>
    <w:rsid w:val="00184CDE"/>
    <w:rsid w:val="00184FB2"/>
    <w:rsid w:val="001854B3"/>
    <w:rsid w:val="0018576F"/>
    <w:rsid w:val="00185994"/>
    <w:rsid w:val="00185FD1"/>
    <w:rsid w:val="00186BB4"/>
    <w:rsid w:val="00186DE4"/>
    <w:rsid w:val="00186DEC"/>
    <w:rsid w:val="00186EDD"/>
    <w:rsid w:val="001871F6"/>
    <w:rsid w:val="0018771A"/>
    <w:rsid w:val="00187915"/>
    <w:rsid w:val="00187E1B"/>
    <w:rsid w:val="00190682"/>
    <w:rsid w:val="00190C05"/>
    <w:rsid w:val="00190CD7"/>
    <w:rsid w:val="00190DA9"/>
    <w:rsid w:val="00191302"/>
    <w:rsid w:val="00191475"/>
    <w:rsid w:val="00191512"/>
    <w:rsid w:val="0019174E"/>
    <w:rsid w:val="00191BDE"/>
    <w:rsid w:val="00191EF9"/>
    <w:rsid w:val="00192EA3"/>
    <w:rsid w:val="00192FFC"/>
    <w:rsid w:val="00193388"/>
    <w:rsid w:val="001949E1"/>
    <w:rsid w:val="00194DF8"/>
    <w:rsid w:val="00194FD0"/>
    <w:rsid w:val="00195027"/>
    <w:rsid w:val="0019578B"/>
    <w:rsid w:val="00195BF5"/>
    <w:rsid w:val="00195C8C"/>
    <w:rsid w:val="00195DFC"/>
    <w:rsid w:val="001964BC"/>
    <w:rsid w:val="001965BB"/>
    <w:rsid w:val="00196C50"/>
    <w:rsid w:val="001972DE"/>
    <w:rsid w:val="001972EB"/>
    <w:rsid w:val="00197581"/>
    <w:rsid w:val="00197CDF"/>
    <w:rsid w:val="00197D72"/>
    <w:rsid w:val="00197F23"/>
    <w:rsid w:val="00197F3B"/>
    <w:rsid w:val="001A014B"/>
    <w:rsid w:val="001A0EC4"/>
    <w:rsid w:val="001A1162"/>
    <w:rsid w:val="001A1241"/>
    <w:rsid w:val="001A14B9"/>
    <w:rsid w:val="001A171D"/>
    <w:rsid w:val="001A1F3B"/>
    <w:rsid w:val="001A270F"/>
    <w:rsid w:val="001A28E9"/>
    <w:rsid w:val="001A4790"/>
    <w:rsid w:val="001A5268"/>
    <w:rsid w:val="001A5AD7"/>
    <w:rsid w:val="001A5CC5"/>
    <w:rsid w:val="001A6087"/>
    <w:rsid w:val="001A6948"/>
    <w:rsid w:val="001A74A5"/>
    <w:rsid w:val="001A77E4"/>
    <w:rsid w:val="001B04AA"/>
    <w:rsid w:val="001B0768"/>
    <w:rsid w:val="001B0FB2"/>
    <w:rsid w:val="001B1695"/>
    <w:rsid w:val="001B2FBF"/>
    <w:rsid w:val="001B3BAD"/>
    <w:rsid w:val="001B450D"/>
    <w:rsid w:val="001B499D"/>
    <w:rsid w:val="001B4AF8"/>
    <w:rsid w:val="001B4F9E"/>
    <w:rsid w:val="001B5C88"/>
    <w:rsid w:val="001B64E2"/>
    <w:rsid w:val="001B669C"/>
    <w:rsid w:val="001B6C3F"/>
    <w:rsid w:val="001B6D01"/>
    <w:rsid w:val="001B6DF3"/>
    <w:rsid w:val="001B6FB5"/>
    <w:rsid w:val="001B72D7"/>
    <w:rsid w:val="001B73AB"/>
    <w:rsid w:val="001B76C6"/>
    <w:rsid w:val="001B7A86"/>
    <w:rsid w:val="001B7C01"/>
    <w:rsid w:val="001B7FA1"/>
    <w:rsid w:val="001C0B59"/>
    <w:rsid w:val="001C0FE3"/>
    <w:rsid w:val="001C12FB"/>
    <w:rsid w:val="001C1769"/>
    <w:rsid w:val="001C1977"/>
    <w:rsid w:val="001C1A57"/>
    <w:rsid w:val="001C1D03"/>
    <w:rsid w:val="001C1E04"/>
    <w:rsid w:val="001C1EEC"/>
    <w:rsid w:val="001C2213"/>
    <w:rsid w:val="001C23C1"/>
    <w:rsid w:val="001C27CC"/>
    <w:rsid w:val="001C2970"/>
    <w:rsid w:val="001C2D34"/>
    <w:rsid w:val="001C2FE2"/>
    <w:rsid w:val="001C3C74"/>
    <w:rsid w:val="001C41DF"/>
    <w:rsid w:val="001C426C"/>
    <w:rsid w:val="001C44AC"/>
    <w:rsid w:val="001C44DA"/>
    <w:rsid w:val="001C4764"/>
    <w:rsid w:val="001C4EF8"/>
    <w:rsid w:val="001C5669"/>
    <w:rsid w:val="001C625E"/>
    <w:rsid w:val="001C65A6"/>
    <w:rsid w:val="001C6E6E"/>
    <w:rsid w:val="001C7851"/>
    <w:rsid w:val="001C7999"/>
    <w:rsid w:val="001C7AFE"/>
    <w:rsid w:val="001C7D3D"/>
    <w:rsid w:val="001D0B21"/>
    <w:rsid w:val="001D0EAC"/>
    <w:rsid w:val="001D16BF"/>
    <w:rsid w:val="001D176A"/>
    <w:rsid w:val="001D2BAC"/>
    <w:rsid w:val="001D2BE7"/>
    <w:rsid w:val="001D2EF8"/>
    <w:rsid w:val="001D314A"/>
    <w:rsid w:val="001D337A"/>
    <w:rsid w:val="001D3CA2"/>
    <w:rsid w:val="001D4675"/>
    <w:rsid w:val="001D55B6"/>
    <w:rsid w:val="001D5C6D"/>
    <w:rsid w:val="001D5FA4"/>
    <w:rsid w:val="001D6789"/>
    <w:rsid w:val="001D6D85"/>
    <w:rsid w:val="001D74D2"/>
    <w:rsid w:val="001D7C71"/>
    <w:rsid w:val="001D7F67"/>
    <w:rsid w:val="001D7FE3"/>
    <w:rsid w:val="001E25F7"/>
    <w:rsid w:val="001E2660"/>
    <w:rsid w:val="001E283A"/>
    <w:rsid w:val="001E30A0"/>
    <w:rsid w:val="001E3A74"/>
    <w:rsid w:val="001E3B65"/>
    <w:rsid w:val="001E4132"/>
    <w:rsid w:val="001E53B9"/>
    <w:rsid w:val="001E5900"/>
    <w:rsid w:val="001E5A28"/>
    <w:rsid w:val="001E5B98"/>
    <w:rsid w:val="001E5E8E"/>
    <w:rsid w:val="001E5FF6"/>
    <w:rsid w:val="001E64C3"/>
    <w:rsid w:val="001E675E"/>
    <w:rsid w:val="001E6BDB"/>
    <w:rsid w:val="001E7163"/>
    <w:rsid w:val="001E74D3"/>
    <w:rsid w:val="001E7883"/>
    <w:rsid w:val="001F0102"/>
    <w:rsid w:val="001F02F9"/>
    <w:rsid w:val="001F0DCC"/>
    <w:rsid w:val="001F0FFB"/>
    <w:rsid w:val="001F1029"/>
    <w:rsid w:val="001F2668"/>
    <w:rsid w:val="001F26A5"/>
    <w:rsid w:val="001F2935"/>
    <w:rsid w:val="001F2EBE"/>
    <w:rsid w:val="001F3873"/>
    <w:rsid w:val="001F4708"/>
    <w:rsid w:val="001F47F3"/>
    <w:rsid w:val="001F48F3"/>
    <w:rsid w:val="001F4908"/>
    <w:rsid w:val="001F49E4"/>
    <w:rsid w:val="001F5096"/>
    <w:rsid w:val="001F52F3"/>
    <w:rsid w:val="001F611A"/>
    <w:rsid w:val="001F6AED"/>
    <w:rsid w:val="001F6CCE"/>
    <w:rsid w:val="001F7060"/>
    <w:rsid w:val="001F75EB"/>
    <w:rsid w:val="001F7FF0"/>
    <w:rsid w:val="0020026E"/>
    <w:rsid w:val="0020042D"/>
    <w:rsid w:val="00200682"/>
    <w:rsid w:val="00200913"/>
    <w:rsid w:val="00200B8C"/>
    <w:rsid w:val="00201B3E"/>
    <w:rsid w:val="00202585"/>
    <w:rsid w:val="00202F3E"/>
    <w:rsid w:val="00202FA7"/>
    <w:rsid w:val="002032BC"/>
    <w:rsid w:val="00203381"/>
    <w:rsid w:val="0020417C"/>
    <w:rsid w:val="00204386"/>
    <w:rsid w:val="00204AA3"/>
    <w:rsid w:val="00204B44"/>
    <w:rsid w:val="002050EC"/>
    <w:rsid w:val="002055EC"/>
    <w:rsid w:val="00206760"/>
    <w:rsid w:val="002067B6"/>
    <w:rsid w:val="002068A2"/>
    <w:rsid w:val="002069B3"/>
    <w:rsid w:val="00206D29"/>
    <w:rsid w:val="00206D38"/>
    <w:rsid w:val="002078BA"/>
    <w:rsid w:val="00207F9E"/>
    <w:rsid w:val="002104AF"/>
    <w:rsid w:val="002115A6"/>
    <w:rsid w:val="0021173B"/>
    <w:rsid w:val="00211E92"/>
    <w:rsid w:val="00212026"/>
    <w:rsid w:val="0021217D"/>
    <w:rsid w:val="002123DE"/>
    <w:rsid w:val="00212EA1"/>
    <w:rsid w:val="00213709"/>
    <w:rsid w:val="002138F6"/>
    <w:rsid w:val="00214CF5"/>
    <w:rsid w:val="00214F72"/>
    <w:rsid w:val="002150E8"/>
    <w:rsid w:val="0021517F"/>
    <w:rsid w:val="0021618C"/>
    <w:rsid w:val="002162B5"/>
    <w:rsid w:val="00216596"/>
    <w:rsid w:val="0021749A"/>
    <w:rsid w:val="002174F0"/>
    <w:rsid w:val="00217732"/>
    <w:rsid w:val="00217789"/>
    <w:rsid w:val="002177EF"/>
    <w:rsid w:val="00217D40"/>
    <w:rsid w:val="00217F9F"/>
    <w:rsid w:val="00217FDD"/>
    <w:rsid w:val="00220269"/>
    <w:rsid w:val="00220A1A"/>
    <w:rsid w:val="00221193"/>
    <w:rsid w:val="00221C3F"/>
    <w:rsid w:val="0022247B"/>
    <w:rsid w:val="002231B5"/>
    <w:rsid w:val="002239B6"/>
    <w:rsid w:val="00223F18"/>
    <w:rsid w:val="002240AB"/>
    <w:rsid w:val="0022449F"/>
    <w:rsid w:val="002244EB"/>
    <w:rsid w:val="00224818"/>
    <w:rsid w:val="00225437"/>
    <w:rsid w:val="002256CA"/>
    <w:rsid w:val="002256F0"/>
    <w:rsid w:val="00225DD3"/>
    <w:rsid w:val="00226D7C"/>
    <w:rsid w:val="00227414"/>
    <w:rsid w:val="00227505"/>
    <w:rsid w:val="00227853"/>
    <w:rsid w:val="00227B54"/>
    <w:rsid w:val="002301A7"/>
    <w:rsid w:val="00230B62"/>
    <w:rsid w:val="00230C3B"/>
    <w:rsid w:val="00230CC5"/>
    <w:rsid w:val="00230CDF"/>
    <w:rsid w:val="00231AD4"/>
    <w:rsid w:val="00232780"/>
    <w:rsid w:val="00232B57"/>
    <w:rsid w:val="00232D09"/>
    <w:rsid w:val="00233028"/>
    <w:rsid w:val="002337CD"/>
    <w:rsid w:val="00233DA5"/>
    <w:rsid w:val="002341E1"/>
    <w:rsid w:val="002348DF"/>
    <w:rsid w:val="0023585F"/>
    <w:rsid w:val="0023595F"/>
    <w:rsid w:val="00235BB9"/>
    <w:rsid w:val="00235E7D"/>
    <w:rsid w:val="002361AB"/>
    <w:rsid w:val="00236714"/>
    <w:rsid w:val="00236D9B"/>
    <w:rsid w:val="00237047"/>
    <w:rsid w:val="00237244"/>
    <w:rsid w:val="00237704"/>
    <w:rsid w:val="002377B7"/>
    <w:rsid w:val="00240137"/>
    <w:rsid w:val="0024048D"/>
    <w:rsid w:val="00240778"/>
    <w:rsid w:val="002407BB"/>
    <w:rsid w:val="00240AB5"/>
    <w:rsid w:val="002410D3"/>
    <w:rsid w:val="002413D7"/>
    <w:rsid w:val="002417BA"/>
    <w:rsid w:val="00241F86"/>
    <w:rsid w:val="002423B8"/>
    <w:rsid w:val="00242681"/>
    <w:rsid w:val="0024290C"/>
    <w:rsid w:val="00242E3C"/>
    <w:rsid w:val="00243159"/>
    <w:rsid w:val="0024334C"/>
    <w:rsid w:val="00243351"/>
    <w:rsid w:val="002433F3"/>
    <w:rsid w:val="002434B5"/>
    <w:rsid w:val="00243E6D"/>
    <w:rsid w:val="00243ED1"/>
    <w:rsid w:val="00243F8F"/>
    <w:rsid w:val="0024458B"/>
    <w:rsid w:val="0024476B"/>
    <w:rsid w:val="00244DA0"/>
    <w:rsid w:val="00244DBC"/>
    <w:rsid w:val="00245BDB"/>
    <w:rsid w:val="00245CA2"/>
    <w:rsid w:val="00245EE7"/>
    <w:rsid w:val="00245F1A"/>
    <w:rsid w:val="002462C8"/>
    <w:rsid w:val="00247180"/>
    <w:rsid w:val="002472A0"/>
    <w:rsid w:val="0024737E"/>
    <w:rsid w:val="002474EB"/>
    <w:rsid w:val="00247A01"/>
    <w:rsid w:val="00247B08"/>
    <w:rsid w:val="002500D6"/>
    <w:rsid w:val="00250DE4"/>
    <w:rsid w:val="00250EF4"/>
    <w:rsid w:val="00250F43"/>
    <w:rsid w:val="00251378"/>
    <w:rsid w:val="00251587"/>
    <w:rsid w:val="00251C9C"/>
    <w:rsid w:val="00251FAA"/>
    <w:rsid w:val="0025217A"/>
    <w:rsid w:val="0025233A"/>
    <w:rsid w:val="0025239E"/>
    <w:rsid w:val="00252565"/>
    <w:rsid w:val="002527D0"/>
    <w:rsid w:val="002528AD"/>
    <w:rsid w:val="0025299C"/>
    <w:rsid w:val="00252C59"/>
    <w:rsid w:val="00252E01"/>
    <w:rsid w:val="00253DD0"/>
    <w:rsid w:val="00253E7F"/>
    <w:rsid w:val="002545B6"/>
    <w:rsid w:val="0025542F"/>
    <w:rsid w:val="00256D3B"/>
    <w:rsid w:val="002573A2"/>
    <w:rsid w:val="00257E5D"/>
    <w:rsid w:val="00260111"/>
    <w:rsid w:val="00260FD2"/>
    <w:rsid w:val="00261280"/>
    <w:rsid w:val="00261735"/>
    <w:rsid w:val="00262A63"/>
    <w:rsid w:val="0026351E"/>
    <w:rsid w:val="00263527"/>
    <w:rsid w:val="00263DD9"/>
    <w:rsid w:val="002644C9"/>
    <w:rsid w:val="00264716"/>
    <w:rsid w:val="00264D08"/>
    <w:rsid w:val="002659AC"/>
    <w:rsid w:val="00265B25"/>
    <w:rsid w:val="00265DB3"/>
    <w:rsid w:val="002665B3"/>
    <w:rsid w:val="00266AF8"/>
    <w:rsid w:val="00266D5D"/>
    <w:rsid w:val="00267B68"/>
    <w:rsid w:val="00267D5F"/>
    <w:rsid w:val="00270321"/>
    <w:rsid w:val="00270662"/>
    <w:rsid w:val="0027069A"/>
    <w:rsid w:val="002710FA"/>
    <w:rsid w:val="00271172"/>
    <w:rsid w:val="002712B3"/>
    <w:rsid w:val="00271FAB"/>
    <w:rsid w:val="00272057"/>
    <w:rsid w:val="002728F3"/>
    <w:rsid w:val="00272AD1"/>
    <w:rsid w:val="00272BB0"/>
    <w:rsid w:val="00273058"/>
    <w:rsid w:val="00273266"/>
    <w:rsid w:val="00273606"/>
    <w:rsid w:val="00273EE7"/>
    <w:rsid w:val="00273F42"/>
    <w:rsid w:val="002741BB"/>
    <w:rsid w:val="00274325"/>
    <w:rsid w:val="0027472F"/>
    <w:rsid w:val="0027477C"/>
    <w:rsid w:val="00274908"/>
    <w:rsid w:val="00274D5D"/>
    <w:rsid w:val="0028073A"/>
    <w:rsid w:val="00280871"/>
    <w:rsid w:val="002815DF"/>
    <w:rsid w:val="002817EC"/>
    <w:rsid w:val="00281AE0"/>
    <w:rsid w:val="0028200E"/>
    <w:rsid w:val="00282018"/>
    <w:rsid w:val="0028237B"/>
    <w:rsid w:val="002824A8"/>
    <w:rsid w:val="00282521"/>
    <w:rsid w:val="00282D17"/>
    <w:rsid w:val="00282F42"/>
    <w:rsid w:val="002832D8"/>
    <w:rsid w:val="00283999"/>
    <w:rsid w:val="00283AF5"/>
    <w:rsid w:val="00283BF0"/>
    <w:rsid w:val="00284707"/>
    <w:rsid w:val="00284B92"/>
    <w:rsid w:val="00284D7C"/>
    <w:rsid w:val="002851EC"/>
    <w:rsid w:val="00285AC9"/>
    <w:rsid w:val="0028622F"/>
    <w:rsid w:val="00286343"/>
    <w:rsid w:val="00286650"/>
    <w:rsid w:val="00286F56"/>
    <w:rsid w:val="002870BA"/>
    <w:rsid w:val="00287E03"/>
    <w:rsid w:val="00287F7C"/>
    <w:rsid w:val="002907D8"/>
    <w:rsid w:val="00290FD3"/>
    <w:rsid w:val="00292818"/>
    <w:rsid w:val="00292995"/>
    <w:rsid w:val="00292A64"/>
    <w:rsid w:val="002932F4"/>
    <w:rsid w:val="00293A94"/>
    <w:rsid w:val="00293F41"/>
    <w:rsid w:val="00293F95"/>
    <w:rsid w:val="00294377"/>
    <w:rsid w:val="0029452F"/>
    <w:rsid w:val="00294530"/>
    <w:rsid w:val="002945C5"/>
    <w:rsid w:val="0029462B"/>
    <w:rsid w:val="002947B9"/>
    <w:rsid w:val="002953DF"/>
    <w:rsid w:val="0029595D"/>
    <w:rsid w:val="00295960"/>
    <w:rsid w:val="00295C29"/>
    <w:rsid w:val="00295E10"/>
    <w:rsid w:val="00296A0E"/>
    <w:rsid w:val="00296A8A"/>
    <w:rsid w:val="00296D08"/>
    <w:rsid w:val="0029702C"/>
    <w:rsid w:val="00297178"/>
    <w:rsid w:val="00297828"/>
    <w:rsid w:val="00297BDF"/>
    <w:rsid w:val="00297DB0"/>
    <w:rsid w:val="00297EA7"/>
    <w:rsid w:val="00297FFA"/>
    <w:rsid w:val="002A03A5"/>
    <w:rsid w:val="002A0EB9"/>
    <w:rsid w:val="002A137A"/>
    <w:rsid w:val="002A152C"/>
    <w:rsid w:val="002A16E2"/>
    <w:rsid w:val="002A1967"/>
    <w:rsid w:val="002A1C72"/>
    <w:rsid w:val="002A1C7C"/>
    <w:rsid w:val="002A206F"/>
    <w:rsid w:val="002A209B"/>
    <w:rsid w:val="002A228F"/>
    <w:rsid w:val="002A24BD"/>
    <w:rsid w:val="002A2AC5"/>
    <w:rsid w:val="002A2B79"/>
    <w:rsid w:val="002A3733"/>
    <w:rsid w:val="002A3CB4"/>
    <w:rsid w:val="002A427F"/>
    <w:rsid w:val="002A4388"/>
    <w:rsid w:val="002A4403"/>
    <w:rsid w:val="002A4556"/>
    <w:rsid w:val="002A46B9"/>
    <w:rsid w:val="002A5ADA"/>
    <w:rsid w:val="002A5F91"/>
    <w:rsid w:val="002A6031"/>
    <w:rsid w:val="002A61ED"/>
    <w:rsid w:val="002A622C"/>
    <w:rsid w:val="002A7AAA"/>
    <w:rsid w:val="002B0057"/>
    <w:rsid w:val="002B02E8"/>
    <w:rsid w:val="002B035E"/>
    <w:rsid w:val="002B0668"/>
    <w:rsid w:val="002B0CCF"/>
    <w:rsid w:val="002B11C7"/>
    <w:rsid w:val="002B1406"/>
    <w:rsid w:val="002B14E4"/>
    <w:rsid w:val="002B1AC6"/>
    <w:rsid w:val="002B1CAB"/>
    <w:rsid w:val="002B1CCB"/>
    <w:rsid w:val="002B258C"/>
    <w:rsid w:val="002B2D87"/>
    <w:rsid w:val="002B39D6"/>
    <w:rsid w:val="002B417D"/>
    <w:rsid w:val="002B44BF"/>
    <w:rsid w:val="002B48BA"/>
    <w:rsid w:val="002B4D2A"/>
    <w:rsid w:val="002B53AC"/>
    <w:rsid w:val="002B5A06"/>
    <w:rsid w:val="002B6174"/>
    <w:rsid w:val="002B652E"/>
    <w:rsid w:val="002B65B6"/>
    <w:rsid w:val="002B6666"/>
    <w:rsid w:val="002B66E0"/>
    <w:rsid w:val="002B79C4"/>
    <w:rsid w:val="002B7FAF"/>
    <w:rsid w:val="002C0AEC"/>
    <w:rsid w:val="002C0B74"/>
    <w:rsid w:val="002C1798"/>
    <w:rsid w:val="002C1AEE"/>
    <w:rsid w:val="002C1CD6"/>
    <w:rsid w:val="002C1D3F"/>
    <w:rsid w:val="002C1F94"/>
    <w:rsid w:val="002C27CA"/>
    <w:rsid w:val="002C2F0B"/>
    <w:rsid w:val="002C346C"/>
    <w:rsid w:val="002C420E"/>
    <w:rsid w:val="002C45EC"/>
    <w:rsid w:val="002C4AE2"/>
    <w:rsid w:val="002C4B6B"/>
    <w:rsid w:val="002C4FC0"/>
    <w:rsid w:val="002C50D0"/>
    <w:rsid w:val="002C5DD1"/>
    <w:rsid w:val="002C60AD"/>
    <w:rsid w:val="002C628A"/>
    <w:rsid w:val="002C6B44"/>
    <w:rsid w:val="002C6CEC"/>
    <w:rsid w:val="002C73A8"/>
    <w:rsid w:val="002C743B"/>
    <w:rsid w:val="002C7867"/>
    <w:rsid w:val="002D0289"/>
    <w:rsid w:val="002D0618"/>
    <w:rsid w:val="002D11B1"/>
    <w:rsid w:val="002D1274"/>
    <w:rsid w:val="002D1294"/>
    <w:rsid w:val="002D12F1"/>
    <w:rsid w:val="002D12FA"/>
    <w:rsid w:val="002D17D3"/>
    <w:rsid w:val="002D1A1D"/>
    <w:rsid w:val="002D1B5E"/>
    <w:rsid w:val="002D1D3F"/>
    <w:rsid w:val="002D1F06"/>
    <w:rsid w:val="002D2403"/>
    <w:rsid w:val="002D2BE3"/>
    <w:rsid w:val="002D32A1"/>
    <w:rsid w:val="002D33C1"/>
    <w:rsid w:val="002D39C3"/>
    <w:rsid w:val="002D3C2C"/>
    <w:rsid w:val="002D3FE5"/>
    <w:rsid w:val="002D419B"/>
    <w:rsid w:val="002D4E5C"/>
    <w:rsid w:val="002D4E96"/>
    <w:rsid w:val="002D50E4"/>
    <w:rsid w:val="002D57D7"/>
    <w:rsid w:val="002D5B02"/>
    <w:rsid w:val="002D67ED"/>
    <w:rsid w:val="002D7091"/>
    <w:rsid w:val="002D73A4"/>
    <w:rsid w:val="002D759F"/>
    <w:rsid w:val="002E0161"/>
    <w:rsid w:val="002E0257"/>
    <w:rsid w:val="002E0BEC"/>
    <w:rsid w:val="002E12B3"/>
    <w:rsid w:val="002E1C2F"/>
    <w:rsid w:val="002E21B6"/>
    <w:rsid w:val="002E2495"/>
    <w:rsid w:val="002E26EC"/>
    <w:rsid w:val="002E29A2"/>
    <w:rsid w:val="002E29A7"/>
    <w:rsid w:val="002E2B32"/>
    <w:rsid w:val="002E37A4"/>
    <w:rsid w:val="002E4139"/>
    <w:rsid w:val="002E468D"/>
    <w:rsid w:val="002E48B4"/>
    <w:rsid w:val="002E4B61"/>
    <w:rsid w:val="002E5467"/>
    <w:rsid w:val="002E66A5"/>
    <w:rsid w:val="002E66F3"/>
    <w:rsid w:val="002E68FA"/>
    <w:rsid w:val="002E7744"/>
    <w:rsid w:val="002E7DBC"/>
    <w:rsid w:val="002F0AED"/>
    <w:rsid w:val="002F15F9"/>
    <w:rsid w:val="002F1EF5"/>
    <w:rsid w:val="002F1FA9"/>
    <w:rsid w:val="002F2FF9"/>
    <w:rsid w:val="002F381C"/>
    <w:rsid w:val="002F3CBF"/>
    <w:rsid w:val="002F3DE1"/>
    <w:rsid w:val="002F444C"/>
    <w:rsid w:val="002F4F38"/>
    <w:rsid w:val="002F56DB"/>
    <w:rsid w:val="002F56E6"/>
    <w:rsid w:val="002F5D63"/>
    <w:rsid w:val="002F620C"/>
    <w:rsid w:val="002F6405"/>
    <w:rsid w:val="002F64F8"/>
    <w:rsid w:val="002F703D"/>
    <w:rsid w:val="002F7364"/>
    <w:rsid w:val="00301398"/>
    <w:rsid w:val="003015A4"/>
    <w:rsid w:val="003016B9"/>
    <w:rsid w:val="003016D2"/>
    <w:rsid w:val="00301B6C"/>
    <w:rsid w:val="00301D1C"/>
    <w:rsid w:val="00301DA2"/>
    <w:rsid w:val="003021AC"/>
    <w:rsid w:val="00302272"/>
    <w:rsid w:val="003024A1"/>
    <w:rsid w:val="00302E99"/>
    <w:rsid w:val="00303291"/>
    <w:rsid w:val="003036FE"/>
    <w:rsid w:val="00303E7F"/>
    <w:rsid w:val="0030426D"/>
    <w:rsid w:val="0030478F"/>
    <w:rsid w:val="00304981"/>
    <w:rsid w:val="0030499D"/>
    <w:rsid w:val="00304A43"/>
    <w:rsid w:val="00304AAA"/>
    <w:rsid w:val="003051E6"/>
    <w:rsid w:val="003053E3"/>
    <w:rsid w:val="00305987"/>
    <w:rsid w:val="00305BF6"/>
    <w:rsid w:val="00305F44"/>
    <w:rsid w:val="003063A7"/>
    <w:rsid w:val="00306FC1"/>
    <w:rsid w:val="003070D9"/>
    <w:rsid w:val="00307912"/>
    <w:rsid w:val="00307C15"/>
    <w:rsid w:val="0031087F"/>
    <w:rsid w:val="003112C3"/>
    <w:rsid w:val="00311F6B"/>
    <w:rsid w:val="00312228"/>
    <w:rsid w:val="00312601"/>
    <w:rsid w:val="00312A0F"/>
    <w:rsid w:val="00312D67"/>
    <w:rsid w:val="00314C5B"/>
    <w:rsid w:val="00314C8B"/>
    <w:rsid w:val="00315171"/>
    <w:rsid w:val="003157D2"/>
    <w:rsid w:val="00315857"/>
    <w:rsid w:val="00317036"/>
    <w:rsid w:val="0031738E"/>
    <w:rsid w:val="0031740E"/>
    <w:rsid w:val="0031797C"/>
    <w:rsid w:val="00317DB5"/>
    <w:rsid w:val="00320585"/>
    <w:rsid w:val="00320BA5"/>
    <w:rsid w:val="00320DF4"/>
    <w:rsid w:val="00320FD7"/>
    <w:rsid w:val="00320FED"/>
    <w:rsid w:val="0032151C"/>
    <w:rsid w:val="0032179B"/>
    <w:rsid w:val="00321BBB"/>
    <w:rsid w:val="00321BBE"/>
    <w:rsid w:val="00321D6A"/>
    <w:rsid w:val="0032220C"/>
    <w:rsid w:val="0032238A"/>
    <w:rsid w:val="00322846"/>
    <w:rsid w:val="00322D98"/>
    <w:rsid w:val="003235AF"/>
    <w:rsid w:val="0032379C"/>
    <w:rsid w:val="00323ED1"/>
    <w:rsid w:val="00324154"/>
    <w:rsid w:val="00324D15"/>
    <w:rsid w:val="00324D66"/>
    <w:rsid w:val="00325602"/>
    <w:rsid w:val="003262B2"/>
    <w:rsid w:val="003267AD"/>
    <w:rsid w:val="00326BAE"/>
    <w:rsid w:val="00326D8C"/>
    <w:rsid w:val="003273C8"/>
    <w:rsid w:val="0032763A"/>
    <w:rsid w:val="00327704"/>
    <w:rsid w:val="00327FA2"/>
    <w:rsid w:val="00330119"/>
    <w:rsid w:val="00330755"/>
    <w:rsid w:val="0033185A"/>
    <w:rsid w:val="003318C2"/>
    <w:rsid w:val="003318F6"/>
    <w:rsid w:val="0033207C"/>
    <w:rsid w:val="00332809"/>
    <w:rsid w:val="00333546"/>
    <w:rsid w:val="003338C0"/>
    <w:rsid w:val="00333DB6"/>
    <w:rsid w:val="00334837"/>
    <w:rsid w:val="00334E50"/>
    <w:rsid w:val="00334FE8"/>
    <w:rsid w:val="0033599F"/>
    <w:rsid w:val="003361A5"/>
    <w:rsid w:val="00336314"/>
    <w:rsid w:val="0033648A"/>
    <w:rsid w:val="003364C8"/>
    <w:rsid w:val="00336D7E"/>
    <w:rsid w:val="00337077"/>
    <w:rsid w:val="003378D4"/>
    <w:rsid w:val="00337FC1"/>
    <w:rsid w:val="00340075"/>
    <w:rsid w:val="00340219"/>
    <w:rsid w:val="003405EE"/>
    <w:rsid w:val="0034155E"/>
    <w:rsid w:val="0034278A"/>
    <w:rsid w:val="003429EC"/>
    <w:rsid w:val="00342A18"/>
    <w:rsid w:val="00343A8D"/>
    <w:rsid w:val="00344191"/>
    <w:rsid w:val="003444F6"/>
    <w:rsid w:val="0034485D"/>
    <w:rsid w:val="00344A4F"/>
    <w:rsid w:val="00344BBD"/>
    <w:rsid w:val="0034566B"/>
    <w:rsid w:val="00345A9A"/>
    <w:rsid w:val="00346868"/>
    <w:rsid w:val="00347389"/>
    <w:rsid w:val="0034757B"/>
    <w:rsid w:val="00347A18"/>
    <w:rsid w:val="00350196"/>
    <w:rsid w:val="0035023E"/>
    <w:rsid w:val="003525DD"/>
    <w:rsid w:val="003528E7"/>
    <w:rsid w:val="0035295D"/>
    <w:rsid w:val="003538D8"/>
    <w:rsid w:val="00353B3B"/>
    <w:rsid w:val="0035432F"/>
    <w:rsid w:val="00354424"/>
    <w:rsid w:val="003545A5"/>
    <w:rsid w:val="003545D0"/>
    <w:rsid w:val="00354A64"/>
    <w:rsid w:val="00354E6B"/>
    <w:rsid w:val="00355CE6"/>
    <w:rsid w:val="00355DB9"/>
    <w:rsid w:val="003568AE"/>
    <w:rsid w:val="00356B18"/>
    <w:rsid w:val="00357049"/>
    <w:rsid w:val="0036036F"/>
    <w:rsid w:val="00360456"/>
    <w:rsid w:val="0036080E"/>
    <w:rsid w:val="003608D8"/>
    <w:rsid w:val="00360909"/>
    <w:rsid w:val="00360E5A"/>
    <w:rsid w:val="0036159F"/>
    <w:rsid w:val="003616CC"/>
    <w:rsid w:val="00361C52"/>
    <w:rsid w:val="0036288A"/>
    <w:rsid w:val="00362D01"/>
    <w:rsid w:val="003630BD"/>
    <w:rsid w:val="00363170"/>
    <w:rsid w:val="003635B6"/>
    <w:rsid w:val="003635F7"/>
    <w:rsid w:val="00363BCA"/>
    <w:rsid w:val="00364097"/>
    <w:rsid w:val="00364259"/>
    <w:rsid w:val="00364A8E"/>
    <w:rsid w:val="00364DEE"/>
    <w:rsid w:val="00365237"/>
    <w:rsid w:val="003657FF"/>
    <w:rsid w:val="00365C4D"/>
    <w:rsid w:val="00365D8C"/>
    <w:rsid w:val="0036602C"/>
    <w:rsid w:val="0036686F"/>
    <w:rsid w:val="003668D4"/>
    <w:rsid w:val="00366A30"/>
    <w:rsid w:val="00366AC2"/>
    <w:rsid w:val="00366C16"/>
    <w:rsid w:val="00367432"/>
    <w:rsid w:val="0036753F"/>
    <w:rsid w:val="00367980"/>
    <w:rsid w:val="00367BEB"/>
    <w:rsid w:val="00370586"/>
    <w:rsid w:val="00370717"/>
    <w:rsid w:val="00370A5F"/>
    <w:rsid w:val="00371B35"/>
    <w:rsid w:val="003721FA"/>
    <w:rsid w:val="003729DC"/>
    <w:rsid w:val="00372B98"/>
    <w:rsid w:val="00372BDC"/>
    <w:rsid w:val="003731C2"/>
    <w:rsid w:val="003732FD"/>
    <w:rsid w:val="00373702"/>
    <w:rsid w:val="00373C01"/>
    <w:rsid w:val="00373DDE"/>
    <w:rsid w:val="00373F22"/>
    <w:rsid w:val="003740EC"/>
    <w:rsid w:val="003745EB"/>
    <w:rsid w:val="00374D0A"/>
    <w:rsid w:val="00374F26"/>
    <w:rsid w:val="0037558B"/>
    <w:rsid w:val="00375AF7"/>
    <w:rsid w:val="00376001"/>
    <w:rsid w:val="0037624C"/>
    <w:rsid w:val="0037667B"/>
    <w:rsid w:val="00377357"/>
    <w:rsid w:val="003774B8"/>
    <w:rsid w:val="003778DB"/>
    <w:rsid w:val="00377B28"/>
    <w:rsid w:val="00377D28"/>
    <w:rsid w:val="00381417"/>
    <w:rsid w:val="00381807"/>
    <w:rsid w:val="003820BB"/>
    <w:rsid w:val="00382E46"/>
    <w:rsid w:val="00382E5C"/>
    <w:rsid w:val="0038301D"/>
    <w:rsid w:val="00383081"/>
    <w:rsid w:val="00383106"/>
    <w:rsid w:val="00383E5C"/>
    <w:rsid w:val="00383EB9"/>
    <w:rsid w:val="0038418B"/>
    <w:rsid w:val="00384349"/>
    <w:rsid w:val="00385812"/>
    <w:rsid w:val="00386F96"/>
    <w:rsid w:val="003870C4"/>
    <w:rsid w:val="003872D9"/>
    <w:rsid w:val="00387429"/>
    <w:rsid w:val="00387546"/>
    <w:rsid w:val="00387580"/>
    <w:rsid w:val="00390469"/>
    <w:rsid w:val="003904D5"/>
    <w:rsid w:val="00390587"/>
    <w:rsid w:val="00390EB7"/>
    <w:rsid w:val="00391132"/>
    <w:rsid w:val="0039136E"/>
    <w:rsid w:val="003914FF"/>
    <w:rsid w:val="00391FFE"/>
    <w:rsid w:val="00392240"/>
    <w:rsid w:val="00392E07"/>
    <w:rsid w:val="003930EC"/>
    <w:rsid w:val="00393F5A"/>
    <w:rsid w:val="00394065"/>
    <w:rsid w:val="003946C5"/>
    <w:rsid w:val="00394BD8"/>
    <w:rsid w:val="003960AE"/>
    <w:rsid w:val="0039724B"/>
    <w:rsid w:val="0039760E"/>
    <w:rsid w:val="00397BFD"/>
    <w:rsid w:val="00397CD6"/>
    <w:rsid w:val="00397E09"/>
    <w:rsid w:val="003A0406"/>
    <w:rsid w:val="003A067E"/>
    <w:rsid w:val="003A0886"/>
    <w:rsid w:val="003A091B"/>
    <w:rsid w:val="003A0D5C"/>
    <w:rsid w:val="003A0D60"/>
    <w:rsid w:val="003A1045"/>
    <w:rsid w:val="003A13C8"/>
    <w:rsid w:val="003A13D0"/>
    <w:rsid w:val="003A14F4"/>
    <w:rsid w:val="003A1E46"/>
    <w:rsid w:val="003A1ED9"/>
    <w:rsid w:val="003A241E"/>
    <w:rsid w:val="003A3262"/>
    <w:rsid w:val="003A36ED"/>
    <w:rsid w:val="003A3915"/>
    <w:rsid w:val="003A3FED"/>
    <w:rsid w:val="003A4214"/>
    <w:rsid w:val="003A56EE"/>
    <w:rsid w:val="003A5A18"/>
    <w:rsid w:val="003A5D8C"/>
    <w:rsid w:val="003A64DF"/>
    <w:rsid w:val="003A651A"/>
    <w:rsid w:val="003A6FC7"/>
    <w:rsid w:val="003A70D9"/>
    <w:rsid w:val="003A7179"/>
    <w:rsid w:val="003B0B6D"/>
    <w:rsid w:val="003B17DE"/>
    <w:rsid w:val="003B1FB4"/>
    <w:rsid w:val="003B22ED"/>
    <w:rsid w:val="003B248C"/>
    <w:rsid w:val="003B310C"/>
    <w:rsid w:val="003B3662"/>
    <w:rsid w:val="003B38A3"/>
    <w:rsid w:val="003B41B6"/>
    <w:rsid w:val="003B4549"/>
    <w:rsid w:val="003B4598"/>
    <w:rsid w:val="003B4799"/>
    <w:rsid w:val="003B48B3"/>
    <w:rsid w:val="003B4920"/>
    <w:rsid w:val="003B504D"/>
    <w:rsid w:val="003B54C4"/>
    <w:rsid w:val="003B55AE"/>
    <w:rsid w:val="003B63F1"/>
    <w:rsid w:val="003B6964"/>
    <w:rsid w:val="003B733B"/>
    <w:rsid w:val="003B7814"/>
    <w:rsid w:val="003B784A"/>
    <w:rsid w:val="003B7FE7"/>
    <w:rsid w:val="003C07DE"/>
    <w:rsid w:val="003C0DD7"/>
    <w:rsid w:val="003C0EA6"/>
    <w:rsid w:val="003C1B46"/>
    <w:rsid w:val="003C2322"/>
    <w:rsid w:val="003C3312"/>
    <w:rsid w:val="003C38A0"/>
    <w:rsid w:val="003C3961"/>
    <w:rsid w:val="003C3BFC"/>
    <w:rsid w:val="003C3F36"/>
    <w:rsid w:val="003C4267"/>
    <w:rsid w:val="003C426A"/>
    <w:rsid w:val="003C44E4"/>
    <w:rsid w:val="003C4597"/>
    <w:rsid w:val="003C58F7"/>
    <w:rsid w:val="003C5CD7"/>
    <w:rsid w:val="003C5F32"/>
    <w:rsid w:val="003C6082"/>
    <w:rsid w:val="003C6405"/>
    <w:rsid w:val="003C6ED1"/>
    <w:rsid w:val="003C7693"/>
    <w:rsid w:val="003C7A33"/>
    <w:rsid w:val="003D009D"/>
    <w:rsid w:val="003D0E4F"/>
    <w:rsid w:val="003D0E53"/>
    <w:rsid w:val="003D0FF7"/>
    <w:rsid w:val="003D101E"/>
    <w:rsid w:val="003D10DF"/>
    <w:rsid w:val="003D1187"/>
    <w:rsid w:val="003D1262"/>
    <w:rsid w:val="003D19D4"/>
    <w:rsid w:val="003D1D62"/>
    <w:rsid w:val="003D1F04"/>
    <w:rsid w:val="003D2099"/>
    <w:rsid w:val="003D2140"/>
    <w:rsid w:val="003D2415"/>
    <w:rsid w:val="003D271E"/>
    <w:rsid w:val="003D2818"/>
    <w:rsid w:val="003D295A"/>
    <w:rsid w:val="003D2B01"/>
    <w:rsid w:val="003D2E22"/>
    <w:rsid w:val="003D31E0"/>
    <w:rsid w:val="003D34BC"/>
    <w:rsid w:val="003D3AB4"/>
    <w:rsid w:val="003D3CB8"/>
    <w:rsid w:val="003D42AC"/>
    <w:rsid w:val="003D4318"/>
    <w:rsid w:val="003D4715"/>
    <w:rsid w:val="003D4BB3"/>
    <w:rsid w:val="003D4CCE"/>
    <w:rsid w:val="003D53C2"/>
    <w:rsid w:val="003D5F7B"/>
    <w:rsid w:val="003D6293"/>
    <w:rsid w:val="003D64F3"/>
    <w:rsid w:val="003D6509"/>
    <w:rsid w:val="003D6E28"/>
    <w:rsid w:val="003D6EB7"/>
    <w:rsid w:val="003D70D4"/>
    <w:rsid w:val="003D7728"/>
    <w:rsid w:val="003D7B59"/>
    <w:rsid w:val="003D7CDC"/>
    <w:rsid w:val="003E0494"/>
    <w:rsid w:val="003E05EE"/>
    <w:rsid w:val="003E1CAA"/>
    <w:rsid w:val="003E1DF5"/>
    <w:rsid w:val="003E299D"/>
    <w:rsid w:val="003E2F3F"/>
    <w:rsid w:val="003E34F9"/>
    <w:rsid w:val="003E3722"/>
    <w:rsid w:val="003E4168"/>
    <w:rsid w:val="003E45E8"/>
    <w:rsid w:val="003E4759"/>
    <w:rsid w:val="003E47D5"/>
    <w:rsid w:val="003E4A52"/>
    <w:rsid w:val="003E4B8C"/>
    <w:rsid w:val="003E501E"/>
    <w:rsid w:val="003E53F3"/>
    <w:rsid w:val="003E54B7"/>
    <w:rsid w:val="003E5531"/>
    <w:rsid w:val="003E586B"/>
    <w:rsid w:val="003E5C06"/>
    <w:rsid w:val="003E5C6E"/>
    <w:rsid w:val="003E626A"/>
    <w:rsid w:val="003E78F4"/>
    <w:rsid w:val="003E79CC"/>
    <w:rsid w:val="003F0253"/>
    <w:rsid w:val="003F07BF"/>
    <w:rsid w:val="003F0C2C"/>
    <w:rsid w:val="003F0CCD"/>
    <w:rsid w:val="003F0DED"/>
    <w:rsid w:val="003F1080"/>
    <w:rsid w:val="003F11FA"/>
    <w:rsid w:val="003F1412"/>
    <w:rsid w:val="003F19F9"/>
    <w:rsid w:val="003F247B"/>
    <w:rsid w:val="003F2750"/>
    <w:rsid w:val="003F30C8"/>
    <w:rsid w:val="003F3ADF"/>
    <w:rsid w:val="003F4466"/>
    <w:rsid w:val="003F48C0"/>
    <w:rsid w:val="003F48E2"/>
    <w:rsid w:val="003F49BA"/>
    <w:rsid w:val="003F4BCD"/>
    <w:rsid w:val="003F4E8F"/>
    <w:rsid w:val="003F4EB4"/>
    <w:rsid w:val="003F5223"/>
    <w:rsid w:val="003F563F"/>
    <w:rsid w:val="003F58D3"/>
    <w:rsid w:val="003F6239"/>
    <w:rsid w:val="003F63BA"/>
    <w:rsid w:val="003F66D4"/>
    <w:rsid w:val="003F68CE"/>
    <w:rsid w:val="003F7228"/>
    <w:rsid w:val="003F7770"/>
    <w:rsid w:val="003F7D32"/>
    <w:rsid w:val="00400A5C"/>
    <w:rsid w:val="00400BCA"/>
    <w:rsid w:val="004010D6"/>
    <w:rsid w:val="004012D7"/>
    <w:rsid w:val="004013CF"/>
    <w:rsid w:val="0040142B"/>
    <w:rsid w:val="00401582"/>
    <w:rsid w:val="00401A5E"/>
    <w:rsid w:val="00401A7F"/>
    <w:rsid w:val="0040238C"/>
    <w:rsid w:val="004033DE"/>
    <w:rsid w:val="00404189"/>
    <w:rsid w:val="0040447B"/>
    <w:rsid w:val="00404548"/>
    <w:rsid w:val="004045C0"/>
    <w:rsid w:val="004046E3"/>
    <w:rsid w:val="004047E1"/>
    <w:rsid w:val="00404F9D"/>
    <w:rsid w:val="00405622"/>
    <w:rsid w:val="004059AD"/>
    <w:rsid w:val="00405A20"/>
    <w:rsid w:val="00405A2A"/>
    <w:rsid w:val="00405CE9"/>
    <w:rsid w:val="0040604E"/>
    <w:rsid w:val="00406CF2"/>
    <w:rsid w:val="004075A1"/>
    <w:rsid w:val="00407BC7"/>
    <w:rsid w:val="00407E24"/>
    <w:rsid w:val="00410606"/>
    <w:rsid w:val="00410916"/>
    <w:rsid w:val="00410DB0"/>
    <w:rsid w:val="00411372"/>
    <w:rsid w:val="00411E62"/>
    <w:rsid w:val="004122A9"/>
    <w:rsid w:val="0041237D"/>
    <w:rsid w:val="0041261E"/>
    <w:rsid w:val="00412659"/>
    <w:rsid w:val="00412C60"/>
    <w:rsid w:val="00413F46"/>
    <w:rsid w:val="00414000"/>
    <w:rsid w:val="00414021"/>
    <w:rsid w:val="00414335"/>
    <w:rsid w:val="00415198"/>
    <w:rsid w:val="004154F3"/>
    <w:rsid w:val="00415838"/>
    <w:rsid w:val="004159D3"/>
    <w:rsid w:val="00415CD9"/>
    <w:rsid w:val="00415F5A"/>
    <w:rsid w:val="0041671C"/>
    <w:rsid w:val="004167F7"/>
    <w:rsid w:val="00416C2D"/>
    <w:rsid w:val="00417861"/>
    <w:rsid w:val="0041790D"/>
    <w:rsid w:val="004179AE"/>
    <w:rsid w:val="00420250"/>
    <w:rsid w:val="00420620"/>
    <w:rsid w:val="00420D2D"/>
    <w:rsid w:val="004210DA"/>
    <w:rsid w:val="0042155E"/>
    <w:rsid w:val="004227BC"/>
    <w:rsid w:val="0042312F"/>
    <w:rsid w:val="00423824"/>
    <w:rsid w:val="00424336"/>
    <w:rsid w:val="0042479E"/>
    <w:rsid w:val="004247F9"/>
    <w:rsid w:val="00424872"/>
    <w:rsid w:val="00425759"/>
    <w:rsid w:val="004257CD"/>
    <w:rsid w:val="00425FAC"/>
    <w:rsid w:val="0042617E"/>
    <w:rsid w:val="00426604"/>
    <w:rsid w:val="0042685E"/>
    <w:rsid w:val="00426E37"/>
    <w:rsid w:val="00427079"/>
    <w:rsid w:val="004273EB"/>
    <w:rsid w:val="00427507"/>
    <w:rsid w:val="00427BD0"/>
    <w:rsid w:val="00430521"/>
    <w:rsid w:val="00430C44"/>
    <w:rsid w:val="00430D36"/>
    <w:rsid w:val="00430F91"/>
    <w:rsid w:val="004313F0"/>
    <w:rsid w:val="00431A77"/>
    <w:rsid w:val="00431B80"/>
    <w:rsid w:val="00431E37"/>
    <w:rsid w:val="004326E9"/>
    <w:rsid w:val="00432842"/>
    <w:rsid w:val="00433572"/>
    <w:rsid w:val="00433CC6"/>
    <w:rsid w:val="00433F5B"/>
    <w:rsid w:val="00434236"/>
    <w:rsid w:val="00435790"/>
    <w:rsid w:val="00436173"/>
    <w:rsid w:val="004368C3"/>
    <w:rsid w:val="004369DB"/>
    <w:rsid w:val="00436D2C"/>
    <w:rsid w:val="004371DB"/>
    <w:rsid w:val="0043781C"/>
    <w:rsid w:val="00437F9C"/>
    <w:rsid w:val="00440BED"/>
    <w:rsid w:val="00441069"/>
    <w:rsid w:val="00441265"/>
    <w:rsid w:val="00441F0C"/>
    <w:rsid w:val="004429AA"/>
    <w:rsid w:val="00442A0E"/>
    <w:rsid w:val="00442EE1"/>
    <w:rsid w:val="004435BC"/>
    <w:rsid w:val="00443819"/>
    <w:rsid w:val="00443FB9"/>
    <w:rsid w:val="00444175"/>
    <w:rsid w:val="00444849"/>
    <w:rsid w:val="004449A9"/>
    <w:rsid w:val="00444DB5"/>
    <w:rsid w:val="004450E0"/>
    <w:rsid w:val="0044531A"/>
    <w:rsid w:val="00445B59"/>
    <w:rsid w:val="004461DC"/>
    <w:rsid w:val="004464DC"/>
    <w:rsid w:val="0044673C"/>
    <w:rsid w:val="004471CA"/>
    <w:rsid w:val="0044766B"/>
    <w:rsid w:val="004501C3"/>
    <w:rsid w:val="004502AC"/>
    <w:rsid w:val="00450712"/>
    <w:rsid w:val="0045094F"/>
    <w:rsid w:val="00450F36"/>
    <w:rsid w:val="00450F5A"/>
    <w:rsid w:val="00451513"/>
    <w:rsid w:val="004519A0"/>
    <w:rsid w:val="00451C48"/>
    <w:rsid w:val="00451EF5"/>
    <w:rsid w:val="00451FD4"/>
    <w:rsid w:val="004520CF"/>
    <w:rsid w:val="004529D3"/>
    <w:rsid w:val="00452ABD"/>
    <w:rsid w:val="0045328A"/>
    <w:rsid w:val="00453FE0"/>
    <w:rsid w:val="004540C5"/>
    <w:rsid w:val="0045423D"/>
    <w:rsid w:val="0045483A"/>
    <w:rsid w:val="00455049"/>
    <w:rsid w:val="004556F2"/>
    <w:rsid w:val="004557D2"/>
    <w:rsid w:val="00455842"/>
    <w:rsid w:val="00455C53"/>
    <w:rsid w:val="00455FE2"/>
    <w:rsid w:val="004564C5"/>
    <w:rsid w:val="00456A20"/>
    <w:rsid w:val="00456B36"/>
    <w:rsid w:val="00456F17"/>
    <w:rsid w:val="0045718A"/>
    <w:rsid w:val="00457413"/>
    <w:rsid w:val="004578C8"/>
    <w:rsid w:val="00460A64"/>
    <w:rsid w:val="004610C3"/>
    <w:rsid w:val="0046141D"/>
    <w:rsid w:val="00461BCF"/>
    <w:rsid w:val="00461C16"/>
    <w:rsid w:val="00461CF2"/>
    <w:rsid w:val="00461DDA"/>
    <w:rsid w:val="00461F89"/>
    <w:rsid w:val="00462098"/>
    <w:rsid w:val="0046215B"/>
    <w:rsid w:val="0046220D"/>
    <w:rsid w:val="00462A35"/>
    <w:rsid w:val="00462E88"/>
    <w:rsid w:val="00463548"/>
    <w:rsid w:val="004639BB"/>
    <w:rsid w:val="00463C9F"/>
    <w:rsid w:val="00463CF4"/>
    <w:rsid w:val="00464262"/>
    <w:rsid w:val="004643D0"/>
    <w:rsid w:val="0046490C"/>
    <w:rsid w:val="00464D25"/>
    <w:rsid w:val="00464D9B"/>
    <w:rsid w:val="00465E10"/>
    <w:rsid w:val="0046632F"/>
    <w:rsid w:val="00466574"/>
    <w:rsid w:val="0046694A"/>
    <w:rsid w:val="00466A53"/>
    <w:rsid w:val="00466F74"/>
    <w:rsid w:val="0046720A"/>
    <w:rsid w:val="00467299"/>
    <w:rsid w:val="004674A3"/>
    <w:rsid w:val="00467747"/>
    <w:rsid w:val="00467983"/>
    <w:rsid w:val="00467BCF"/>
    <w:rsid w:val="00467E7A"/>
    <w:rsid w:val="00467EEE"/>
    <w:rsid w:val="0047006A"/>
    <w:rsid w:val="0047030F"/>
    <w:rsid w:val="0047062C"/>
    <w:rsid w:val="004710F6"/>
    <w:rsid w:val="0047112F"/>
    <w:rsid w:val="004718F9"/>
    <w:rsid w:val="00471999"/>
    <w:rsid w:val="00473137"/>
    <w:rsid w:val="00473616"/>
    <w:rsid w:val="00473CEB"/>
    <w:rsid w:val="004747A8"/>
    <w:rsid w:val="00474966"/>
    <w:rsid w:val="00474E44"/>
    <w:rsid w:val="00475484"/>
    <w:rsid w:val="00476283"/>
    <w:rsid w:val="00476315"/>
    <w:rsid w:val="00476793"/>
    <w:rsid w:val="00476918"/>
    <w:rsid w:val="00477054"/>
    <w:rsid w:val="0047734D"/>
    <w:rsid w:val="00477414"/>
    <w:rsid w:val="00480382"/>
    <w:rsid w:val="004809AF"/>
    <w:rsid w:val="00480FB5"/>
    <w:rsid w:val="00481091"/>
    <w:rsid w:val="00481580"/>
    <w:rsid w:val="00481FFA"/>
    <w:rsid w:val="004827C9"/>
    <w:rsid w:val="00482D2E"/>
    <w:rsid w:val="00482D77"/>
    <w:rsid w:val="004834A2"/>
    <w:rsid w:val="00483A11"/>
    <w:rsid w:val="0048460E"/>
    <w:rsid w:val="0048462D"/>
    <w:rsid w:val="00484661"/>
    <w:rsid w:val="004847C2"/>
    <w:rsid w:val="004857F4"/>
    <w:rsid w:val="00485A47"/>
    <w:rsid w:val="00485CA7"/>
    <w:rsid w:val="00485D55"/>
    <w:rsid w:val="00485DD1"/>
    <w:rsid w:val="004860B1"/>
    <w:rsid w:val="0048631C"/>
    <w:rsid w:val="004866F6"/>
    <w:rsid w:val="00486C79"/>
    <w:rsid w:val="0048719C"/>
    <w:rsid w:val="0048727D"/>
    <w:rsid w:val="00487FA8"/>
    <w:rsid w:val="00490766"/>
    <w:rsid w:val="004909F5"/>
    <w:rsid w:val="00490B4B"/>
    <w:rsid w:val="0049174B"/>
    <w:rsid w:val="00492193"/>
    <w:rsid w:val="0049253C"/>
    <w:rsid w:val="0049258D"/>
    <w:rsid w:val="00492F3F"/>
    <w:rsid w:val="00493309"/>
    <w:rsid w:val="00493CE7"/>
    <w:rsid w:val="0049402E"/>
    <w:rsid w:val="004940BC"/>
    <w:rsid w:val="00494941"/>
    <w:rsid w:val="004949F5"/>
    <w:rsid w:val="00494D72"/>
    <w:rsid w:val="00494E57"/>
    <w:rsid w:val="0049633E"/>
    <w:rsid w:val="004965A8"/>
    <w:rsid w:val="00496B8D"/>
    <w:rsid w:val="00497119"/>
    <w:rsid w:val="004972CA"/>
    <w:rsid w:val="00497B78"/>
    <w:rsid w:val="00497F12"/>
    <w:rsid w:val="004A044E"/>
    <w:rsid w:val="004A153F"/>
    <w:rsid w:val="004A234B"/>
    <w:rsid w:val="004A2D99"/>
    <w:rsid w:val="004A310B"/>
    <w:rsid w:val="004A385B"/>
    <w:rsid w:val="004A3B07"/>
    <w:rsid w:val="004A3F7C"/>
    <w:rsid w:val="004A415D"/>
    <w:rsid w:val="004A4365"/>
    <w:rsid w:val="004A45A5"/>
    <w:rsid w:val="004A5456"/>
    <w:rsid w:val="004A5587"/>
    <w:rsid w:val="004A6063"/>
    <w:rsid w:val="004A6598"/>
    <w:rsid w:val="004A6E9B"/>
    <w:rsid w:val="004A7553"/>
    <w:rsid w:val="004A7977"/>
    <w:rsid w:val="004A7DAE"/>
    <w:rsid w:val="004A7FB3"/>
    <w:rsid w:val="004B00CE"/>
    <w:rsid w:val="004B07C2"/>
    <w:rsid w:val="004B10C4"/>
    <w:rsid w:val="004B1DDE"/>
    <w:rsid w:val="004B21B1"/>
    <w:rsid w:val="004B27A1"/>
    <w:rsid w:val="004B2812"/>
    <w:rsid w:val="004B28B7"/>
    <w:rsid w:val="004B2B25"/>
    <w:rsid w:val="004B319D"/>
    <w:rsid w:val="004B35BD"/>
    <w:rsid w:val="004B3711"/>
    <w:rsid w:val="004B3AD6"/>
    <w:rsid w:val="004B3DB6"/>
    <w:rsid w:val="004B3EBC"/>
    <w:rsid w:val="004B419F"/>
    <w:rsid w:val="004B4701"/>
    <w:rsid w:val="004B5A94"/>
    <w:rsid w:val="004B663E"/>
    <w:rsid w:val="004B6C4E"/>
    <w:rsid w:val="004B7262"/>
    <w:rsid w:val="004B7BB7"/>
    <w:rsid w:val="004B7DF1"/>
    <w:rsid w:val="004C0B6B"/>
    <w:rsid w:val="004C0C53"/>
    <w:rsid w:val="004C0E77"/>
    <w:rsid w:val="004C0E9A"/>
    <w:rsid w:val="004C0FAA"/>
    <w:rsid w:val="004C110E"/>
    <w:rsid w:val="004C1565"/>
    <w:rsid w:val="004C167B"/>
    <w:rsid w:val="004C1886"/>
    <w:rsid w:val="004C1F27"/>
    <w:rsid w:val="004C20F6"/>
    <w:rsid w:val="004C29B8"/>
    <w:rsid w:val="004C2B79"/>
    <w:rsid w:val="004C2FF1"/>
    <w:rsid w:val="004C353D"/>
    <w:rsid w:val="004C35EE"/>
    <w:rsid w:val="004C3B6B"/>
    <w:rsid w:val="004C3B87"/>
    <w:rsid w:val="004C52B3"/>
    <w:rsid w:val="004C52C1"/>
    <w:rsid w:val="004C5312"/>
    <w:rsid w:val="004C5B10"/>
    <w:rsid w:val="004C5EFB"/>
    <w:rsid w:val="004C6FB9"/>
    <w:rsid w:val="004C73E5"/>
    <w:rsid w:val="004C7EF7"/>
    <w:rsid w:val="004D000E"/>
    <w:rsid w:val="004D001A"/>
    <w:rsid w:val="004D03F8"/>
    <w:rsid w:val="004D08CB"/>
    <w:rsid w:val="004D1077"/>
    <w:rsid w:val="004D138E"/>
    <w:rsid w:val="004D1593"/>
    <w:rsid w:val="004D19E3"/>
    <w:rsid w:val="004D1A5C"/>
    <w:rsid w:val="004D1AD9"/>
    <w:rsid w:val="004D21F9"/>
    <w:rsid w:val="004D276D"/>
    <w:rsid w:val="004D2E3A"/>
    <w:rsid w:val="004D2F99"/>
    <w:rsid w:val="004D356B"/>
    <w:rsid w:val="004D3768"/>
    <w:rsid w:val="004D3851"/>
    <w:rsid w:val="004D38B8"/>
    <w:rsid w:val="004D3A65"/>
    <w:rsid w:val="004D3CBB"/>
    <w:rsid w:val="004D3DFA"/>
    <w:rsid w:val="004D4049"/>
    <w:rsid w:val="004D4BD4"/>
    <w:rsid w:val="004D5321"/>
    <w:rsid w:val="004D5544"/>
    <w:rsid w:val="004D587C"/>
    <w:rsid w:val="004D6205"/>
    <w:rsid w:val="004D6453"/>
    <w:rsid w:val="004D657D"/>
    <w:rsid w:val="004D6C46"/>
    <w:rsid w:val="004D7178"/>
    <w:rsid w:val="004D77EB"/>
    <w:rsid w:val="004E0059"/>
    <w:rsid w:val="004E086C"/>
    <w:rsid w:val="004E0B38"/>
    <w:rsid w:val="004E0D2D"/>
    <w:rsid w:val="004E123B"/>
    <w:rsid w:val="004E1742"/>
    <w:rsid w:val="004E18E3"/>
    <w:rsid w:val="004E20B9"/>
    <w:rsid w:val="004E22A4"/>
    <w:rsid w:val="004E2478"/>
    <w:rsid w:val="004E2806"/>
    <w:rsid w:val="004E3030"/>
    <w:rsid w:val="004E3096"/>
    <w:rsid w:val="004E3715"/>
    <w:rsid w:val="004E3BA4"/>
    <w:rsid w:val="004E3F52"/>
    <w:rsid w:val="004E403C"/>
    <w:rsid w:val="004E44F4"/>
    <w:rsid w:val="004E4CB7"/>
    <w:rsid w:val="004E4CC1"/>
    <w:rsid w:val="004E4F12"/>
    <w:rsid w:val="004E57B4"/>
    <w:rsid w:val="004E584D"/>
    <w:rsid w:val="004E5BB7"/>
    <w:rsid w:val="004E5BBA"/>
    <w:rsid w:val="004E5F1F"/>
    <w:rsid w:val="004E5F47"/>
    <w:rsid w:val="004E651B"/>
    <w:rsid w:val="004E6AC8"/>
    <w:rsid w:val="004E6D84"/>
    <w:rsid w:val="004E7287"/>
    <w:rsid w:val="004E73B3"/>
    <w:rsid w:val="004E7E76"/>
    <w:rsid w:val="004F0596"/>
    <w:rsid w:val="004F08BC"/>
    <w:rsid w:val="004F0CCD"/>
    <w:rsid w:val="004F0F58"/>
    <w:rsid w:val="004F10E1"/>
    <w:rsid w:val="004F1560"/>
    <w:rsid w:val="004F1B41"/>
    <w:rsid w:val="004F21A8"/>
    <w:rsid w:val="004F23E0"/>
    <w:rsid w:val="004F2A87"/>
    <w:rsid w:val="004F3370"/>
    <w:rsid w:val="004F3D57"/>
    <w:rsid w:val="004F3EB4"/>
    <w:rsid w:val="004F44A9"/>
    <w:rsid w:val="004F5400"/>
    <w:rsid w:val="004F5870"/>
    <w:rsid w:val="004F5955"/>
    <w:rsid w:val="004F5A6D"/>
    <w:rsid w:val="004F5D14"/>
    <w:rsid w:val="004F5F71"/>
    <w:rsid w:val="004F609A"/>
    <w:rsid w:val="004F6CC9"/>
    <w:rsid w:val="004F73FB"/>
    <w:rsid w:val="004F775A"/>
    <w:rsid w:val="004F786D"/>
    <w:rsid w:val="004F7B09"/>
    <w:rsid w:val="004F7B98"/>
    <w:rsid w:val="004F7BA7"/>
    <w:rsid w:val="004F7CF6"/>
    <w:rsid w:val="00500BAA"/>
    <w:rsid w:val="00500EB8"/>
    <w:rsid w:val="00502D61"/>
    <w:rsid w:val="00502DF4"/>
    <w:rsid w:val="00503AAD"/>
    <w:rsid w:val="0050445A"/>
    <w:rsid w:val="005044C1"/>
    <w:rsid w:val="005049F0"/>
    <w:rsid w:val="00504B25"/>
    <w:rsid w:val="00504C42"/>
    <w:rsid w:val="00505ECC"/>
    <w:rsid w:val="0050616E"/>
    <w:rsid w:val="00506384"/>
    <w:rsid w:val="00507BFE"/>
    <w:rsid w:val="00510078"/>
    <w:rsid w:val="00510AFD"/>
    <w:rsid w:val="005113A8"/>
    <w:rsid w:val="0051205C"/>
    <w:rsid w:val="0051206D"/>
    <w:rsid w:val="00512497"/>
    <w:rsid w:val="00513C5E"/>
    <w:rsid w:val="0051407C"/>
    <w:rsid w:val="00515E90"/>
    <w:rsid w:val="0051658F"/>
    <w:rsid w:val="005168F0"/>
    <w:rsid w:val="00516A84"/>
    <w:rsid w:val="00516BAC"/>
    <w:rsid w:val="00516D91"/>
    <w:rsid w:val="00516EFB"/>
    <w:rsid w:val="005176B0"/>
    <w:rsid w:val="0051787C"/>
    <w:rsid w:val="00517D2C"/>
    <w:rsid w:val="00517F71"/>
    <w:rsid w:val="00520046"/>
    <w:rsid w:val="00520583"/>
    <w:rsid w:val="00520BE8"/>
    <w:rsid w:val="00520C4B"/>
    <w:rsid w:val="005220E0"/>
    <w:rsid w:val="005228D5"/>
    <w:rsid w:val="00522CEE"/>
    <w:rsid w:val="00522D57"/>
    <w:rsid w:val="00522DA9"/>
    <w:rsid w:val="00523182"/>
    <w:rsid w:val="00523434"/>
    <w:rsid w:val="00523557"/>
    <w:rsid w:val="0052365D"/>
    <w:rsid w:val="00523F6B"/>
    <w:rsid w:val="005242C8"/>
    <w:rsid w:val="00524602"/>
    <w:rsid w:val="005246F3"/>
    <w:rsid w:val="00524C76"/>
    <w:rsid w:val="00524CA2"/>
    <w:rsid w:val="00524E81"/>
    <w:rsid w:val="00525659"/>
    <w:rsid w:val="00525A8E"/>
    <w:rsid w:val="00526179"/>
    <w:rsid w:val="00527301"/>
    <w:rsid w:val="0052741A"/>
    <w:rsid w:val="00527D0E"/>
    <w:rsid w:val="005303E4"/>
    <w:rsid w:val="0053076D"/>
    <w:rsid w:val="00530A12"/>
    <w:rsid w:val="00530A3D"/>
    <w:rsid w:val="00530E35"/>
    <w:rsid w:val="00530F2C"/>
    <w:rsid w:val="005317AA"/>
    <w:rsid w:val="00532712"/>
    <w:rsid w:val="00532C6A"/>
    <w:rsid w:val="00532F60"/>
    <w:rsid w:val="00533196"/>
    <w:rsid w:val="0053417E"/>
    <w:rsid w:val="0053453B"/>
    <w:rsid w:val="005347E8"/>
    <w:rsid w:val="00534A9E"/>
    <w:rsid w:val="00534FC3"/>
    <w:rsid w:val="00535DCC"/>
    <w:rsid w:val="00536393"/>
    <w:rsid w:val="00536648"/>
    <w:rsid w:val="00536BA8"/>
    <w:rsid w:val="00536F61"/>
    <w:rsid w:val="005371A8"/>
    <w:rsid w:val="00540BB6"/>
    <w:rsid w:val="00541018"/>
    <w:rsid w:val="005414D4"/>
    <w:rsid w:val="00541989"/>
    <w:rsid w:val="00542263"/>
    <w:rsid w:val="0054287E"/>
    <w:rsid w:val="0054299C"/>
    <w:rsid w:val="00542DD5"/>
    <w:rsid w:val="00543092"/>
    <w:rsid w:val="00543D71"/>
    <w:rsid w:val="00543EBA"/>
    <w:rsid w:val="0054413A"/>
    <w:rsid w:val="00544258"/>
    <w:rsid w:val="005443D7"/>
    <w:rsid w:val="00544E08"/>
    <w:rsid w:val="0054629D"/>
    <w:rsid w:val="00546386"/>
    <w:rsid w:val="005463CF"/>
    <w:rsid w:val="00546826"/>
    <w:rsid w:val="00546BC3"/>
    <w:rsid w:val="00546D14"/>
    <w:rsid w:val="005479C3"/>
    <w:rsid w:val="00550413"/>
    <w:rsid w:val="00550A51"/>
    <w:rsid w:val="005513F1"/>
    <w:rsid w:val="0055154B"/>
    <w:rsid w:val="0055162B"/>
    <w:rsid w:val="005519F8"/>
    <w:rsid w:val="00551B5F"/>
    <w:rsid w:val="0055266A"/>
    <w:rsid w:val="005529C6"/>
    <w:rsid w:val="00552C3B"/>
    <w:rsid w:val="0055302C"/>
    <w:rsid w:val="005536F6"/>
    <w:rsid w:val="00553805"/>
    <w:rsid w:val="00553E5F"/>
    <w:rsid w:val="0055460C"/>
    <w:rsid w:val="00554613"/>
    <w:rsid w:val="005548B3"/>
    <w:rsid w:val="00554B5B"/>
    <w:rsid w:val="005554BA"/>
    <w:rsid w:val="00555F8A"/>
    <w:rsid w:val="005567D8"/>
    <w:rsid w:val="00556CE1"/>
    <w:rsid w:val="005573DF"/>
    <w:rsid w:val="0055766F"/>
    <w:rsid w:val="0056010D"/>
    <w:rsid w:val="00560215"/>
    <w:rsid w:val="005606FC"/>
    <w:rsid w:val="0056185A"/>
    <w:rsid w:val="00561E7E"/>
    <w:rsid w:val="005627F4"/>
    <w:rsid w:val="00562EAF"/>
    <w:rsid w:val="0056302D"/>
    <w:rsid w:val="005634BC"/>
    <w:rsid w:val="0056368A"/>
    <w:rsid w:val="0056385B"/>
    <w:rsid w:val="005645C1"/>
    <w:rsid w:val="00564EC5"/>
    <w:rsid w:val="00567073"/>
    <w:rsid w:val="00567112"/>
    <w:rsid w:val="00567F17"/>
    <w:rsid w:val="00570419"/>
    <w:rsid w:val="0057051A"/>
    <w:rsid w:val="005707FC"/>
    <w:rsid w:val="00570F43"/>
    <w:rsid w:val="00570F63"/>
    <w:rsid w:val="005715EF"/>
    <w:rsid w:val="00571B95"/>
    <w:rsid w:val="00572109"/>
    <w:rsid w:val="005726F0"/>
    <w:rsid w:val="005729A0"/>
    <w:rsid w:val="00572FC3"/>
    <w:rsid w:val="00573248"/>
    <w:rsid w:val="005736E8"/>
    <w:rsid w:val="00573A2B"/>
    <w:rsid w:val="005740DA"/>
    <w:rsid w:val="005742A0"/>
    <w:rsid w:val="00574469"/>
    <w:rsid w:val="005745D4"/>
    <w:rsid w:val="00574ACA"/>
    <w:rsid w:val="0057506D"/>
    <w:rsid w:val="00575670"/>
    <w:rsid w:val="00576584"/>
    <w:rsid w:val="0057690B"/>
    <w:rsid w:val="00576C99"/>
    <w:rsid w:val="00576FCC"/>
    <w:rsid w:val="0057759F"/>
    <w:rsid w:val="00577793"/>
    <w:rsid w:val="00577D4D"/>
    <w:rsid w:val="005809B6"/>
    <w:rsid w:val="00580BE2"/>
    <w:rsid w:val="00580EE2"/>
    <w:rsid w:val="00580F24"/>
    <w:rsid w:val="00581BD4"/>
    <w:rsid w:val="00581DE2"/>
    <w:rsid w:val="00581DF0"/>
    <w:rsid w:val="00582411"/>
    <w:rsid w:val="00582653"/>
    <w:rsid w:val="0058358C"/>
    <w:rsid w:val="005835EE"/>
    <w:rsid w:val="005839EB"/>
    <w:rsid w:val="00584811"/>
    <w:rsid w:val="00584926"/>
    <w:rsid w:val="00584CE7"/>
    <w:rsid w:val="00585023"/>
    <w:rsid w:val="00585137"/>
    <w:rsid w:val="005857A2"/>
    <w:rsid w:val="00585A69"/>
    <w:rsid w:val="0058645B"/>
    <w:rsid w:val="00586A4E"/>
    <w:rsid w:val="005873B4"/>
    <w:rsid w:val="00590492"/>
    <w:rsid w:val="00590867"/>
    <w:rsid w:val="00590AEA"/>
    <w:rsid w:val="00591A71"/>
    <w:rsid w:val="0059206B"/>
    <w:rsid w:val="0059253D"/>
    <w:rsid w:val="0059306A"/>
    <w:rsid w:val="0059306F"/>
    <w:rsid w:val="00593D7D"/>
    <w:rsid w:val="005943B0"/>
    <w:rsid w:val="00594A00"/>
    <w:rsid w:val="00595189"/>
    <w:rsid w:val="00595280"/>
    <w:rsid w:val="005954D2"/>
    <w:rsid w:val="005957B4"/>
    <w:rsid w:val="0059599F"/>
    <w:rsid w:val="0059616E"/>
    <w:rsid w:val="005961D9"/>
    <w:rsid w:val="005973F1"/>
    <w:rsid w:val="00597B74"/>
    <w:rsid w:val="00597CBF"/>
    <w:rsid w:val="005A0077"/>
    <w:rsid w:val="005A0541"/>
    <w:rsid w:val="005A0836"/>
    <w:rsid w:val="005A0BC8"/>
    <w:rsid w:val="005A0DAE"/>
    <w:rsid w:val="005A1189"/>
    <w:rsid w:val="005A118E"/>
    <w:rsid w:val="005A11DC"/>
    <w:rsid w:val="005A1B3B"/>
    <w:rsid w:val="005A256B"/>
    <w:rsid w:val="005A2901"/>
    <w:rsid w:val="005A3180"/>
    <w:rsid w:val="005A33D9"/>
    <w:rsid w:val="005A3CAC"/>
    <w:rsid w:val="005A43C7"/>
    <w:rsid w:val="005A44C4"/>
    <w:rsid w:val="005A491F"/>
    <w:rsid w:val="005A5032"/>
    <w:rsid w:val="005A5091"/>
    <w:rsid w:val="005A5130"/>
    <w:rsid w:val="005A52DA"/>
    <w:rsid w:val="005A53F5"/>
    <w:rsid w:val="005A5511"/>
    <w:rsid w:val="005A598C"/>
    <w:rsid w:val="005A5ACA"/>
    <w:rsid w:val="005A5D98"/>
    <w:rsid w:val="005A6CEB"/>
    <w:rsid w:val="005A7023"/>
    <w:rsid w:val="005A7797"/>
    <w:rsid w:val="005A7B4B"/>
    <w:rsid w:val="005B0A8F"/>
    <w:rsid w:val="005B0ABE"/>
    <w:rsid w:val="005B11C3"/>
    <w:rsid w:val="005B1277"/>
    <w:rsid w:val="005B146B"/>
    <w:rsid w:val="005B1EAC"/>
    <w:rsid w:val="005B1EB7"/>
    <w:rsid w:val="005B2524"/>
    <w:rsid w:val="005B2B6F"/>
    <w:rsid w:val="005B2BD1"/>
    <w:rsid w:val="005B3502"/>
    <w:rsid w:val="005B3CE0"/>
    <w:rsid w:val="005B3ED3"/>
    <w:rsid w:val="005B3F87"/>
    <w:rsid w:val="005B446B"/>
    <w:rsid w:val="005B45E1"/>
    <w:rsid w:val="005B48B1"/>
    <w:rsid w:val="005B4EDB"/>
    <w:rsid w:val="005B5B82"/>
    <w:rsid w:val="005B5C97"/>
    <w:rsid w:val="005B673F"/>
    <w:rsid w:val="005B7037"/>
    <w:rsid w:val="005B7968"/>
    <w:rsid w:val="005B7E1F"/>
    <w:rsid w:val="005C0348"/>
    <w:rsid w:val="005C0EB1"/>
    <w:rsid w:val="005C1314"/>
    <w:rsid w:val="005C14C8"/>
    <w:rsid w:val="005C1C16"/>
    <w:rsid w:val="005C1D26"/>
    <w:rsid w:val="005C1E3F"/>
    <w:rsid w:val="005C224F"/>
    <w:rsid w:val="005C33ED"/>
    <w:rsid w:val="005C35B9"/>
    <w:rsid w:val="005C3C40"/>
    <w:rsid w:val="005C3CDE"/>
    <w:rsid w:val="005C4478"/>
    <w:rsid w:val="005C469B"/>
    <w:rsid w:val="005C4826"/>
    <w:rsid w:val="005C4BBA"/>
    <w:rsid w:val="005C4CE0"/>
    <w:rsid w:val="005C5A59"/>
    <w:rsid w:val="005C5FF1"/>
    <w:rsid w:val="005C6091"/>
    <w:rsid w:val="005C6595"/>
    <w:rsid w:val="005C65CA"/>
    <w:rsid w:val="005C6BA1"/>
    <w:rsid w:val="005C6BBA"/>
    <w:rsid w:val="005C6FE5"/>
    <w:rsid w:val="005C7306"/>
    <w:rsid w:val="005D001D"/>
    <w:rsid w:val="005D0096"/>
    <w:rsid w:val="005D01A2"/>
    <w:rsid w:val="005D059B"/>
    <w:rsid w:val="005D06B3"/>
    <w:rsid w:val="005D08B2"/>
    <w:rsid w:val="005D0AF7"/>
    <w:rsid w:val="005D11D6"/>
    <w:rsid w:val="005D1338"/>
    <w:rsid w:val="005D24B7"/>
    <w:rsid w:val="005D2899"/>
    <w:rsid w:val="005D2C35"/>
    <w:rsid w:val="005D2DDC"/>
    <w:rsid w:val="005D3013"/>
    <w:rsid w:val="005D34D1"/>
    <w:rsid w:val="005D35DE"/>
    <w:rsid w:val="005D39D7"/>
    <w:rsid w:val="005D3BD2"/>
    <w:rsid w:val="005D3D38"/>
    <w:rsid w:val="005D3ED2"/>
    <w:rsid w:val="005D4B7B"/>
    <w:rsid w:val="005D5D6A"/>
    <w:rsid w:val="005D5E2D"/>
    <w:rsid w:val="005D62C4"/>
    <w:rsid w:val="005D6884"/>
    <w:rsid w:val="005D6BC2"/>
    <w:rsid w:val="005D6BEC"/>
    <w:rsid w:val="005D703F"/>
    <w:rsid w:val="005D70F1"/>
    <w:rsid w:val="005D715E"/>
    <w:rsid w:val="005D76FD"/>
    <w:rsid w:val="005D7BBF"/>
    <w:rsid w:val="005E0073"/>
    <w:rsid w:val="005E0A96"/>
    <w:rsid w:val="005E0BC6"/>
    <w:rsid w:val="005E0CBB"/>
    <w:rsid w:val="005E1EB3"/>
    <w:rsid w:val="005E22B7"/>
    <w:rsid w:val="005E270A"/>
    <w:rsid w:val="005E3168"/>
    <w:rsid w:val="005E3B75"/>
    <w:rsid w:val="005E3EF1"/>
    <w:rsid w:val="005E413B"/>
    <w:rsid w:val="005E45BE"/>
    <w:rsid w:val="005E4A3D"/>
    <w:rsid w:val="005E5355"/>
    <w:rsid w:val="005E5375"/>
    <w:rsid w:val="005E5B07"/>
    <w:rsid w:val="005E5DAD"/>
    <w:rsid w:val="005E5E45"/>
    <w:rsid w:val="005E62AE"/>
    <w:rsid w:val="005E65EF"/>
    <w:rsid w:val="005E69B4"/>
    <w:rsid w:val="005E6CBB"/>
    <w:rsid w:val="005E73D4"/>
    <w:rsid w:val="005E76EF"/>
    <w:rsid w:val="005E78EB"/>
    <w:rsid w:val="005E7D5D"/>
    <w:rsid w:val="005E7DCF"/>
    <w:rsid w:val="005F00FA"/>
    <w:rsid w:val="005F0B0A"/>
    <w:rsid w:val="005F122A"/>
    <w:rsid w:val="005F1CE3"/>
    <w:rsid w:val="005F1FF9"/>
    <w:rsid w:val="005F2486"/>
    <w:rsid w:val="005F2E14"/>
    <w:rsid w:val="005F33AD"/>
    <w:rsid w:val="005F4029"/>
    <w:rsid w:val="005F5254"/>
    <w:rsid w:val="005F571D"/>
    <w:rsid w:val="005F5A75"/>
    <w:rsid w:val="005F5B2C"/>
    <w:rsid w:val="005F5F15"/>
    <w:rsid w:val="005F5F41"/>
    <w:rsid w:val="005F6052"/>
    <w:rsid w:val="005F6140"/>
    <w:rsid w:val="005F64E7"/>
    <w:rsid w:val="005F6CB2"/>
    <w:rsid w:val="005F6F72"/>
    <w:rsid w:val="005F70FB"/>
    <w:rsid w:val="005F7674"/>
    <w:rsid w:val="005F77F1"/>
    <w:rsid w:val="0060067B"/>
    <w:rsid w:val="006009E7"/>
    <w:rsid w:val="00600B55"/>
    <w:rsid w:val="00600E29"/>
    <w:rsid w:val="00601C22"/>
    <w:rsid w:val="00601D37"/>
    <w:rsid w:val="00601DC3"/>
    <w:rsid w:val="006020B0"/>
    <w:rsid w:val="00602177"/>
    <w:rsid w:val="006030FC"/>
    <w:rsid w:val="006035FE"/>
    <w:rsid w:val="00603874"/>
    <w:rsid w:val="00603F60"/>
    <w:rsid w:val="00604549"/>
    <w:rsid w:val="00605176"/>
    <w:rsid w:val="00605827"/>
    <w:rsid w:val="0060600A"/>
    <w:rsid w:val="00606C79"/>
    <w:rsid w:val="00607449"/>
    <w:rsid w:val="00607585"/>
    <w:rsid w:val="00610186"/>
    <w:rsid w:val="006102C6"/>
    <w:rsid w:val="00610648"/>
    <w:rsid w:val="00610790"/>
    <w:rsid w:val="006109B2"/>
    <w:rsid w:val="00610ADF"/>
    <w:rsid w:val="00611091"/>
    <w:rsid w:val="006110A1"/>
    <w:rsid w:val="006113D3"/>
    <w:rsid w:val="0061196D"/>
    <w:rsid w:val="00611BF3"/>
    <w:rsid w:val="006124BA"/>
    <w:rsid w:val="006125DF"/>
    <w:rsid w:val="006127C1"/>
    <w:rsid w:val="006128FC"/>
    <w:rsid w:val="00613285"/>
    <w:rsid w:val="006136A6"/>
    <w:rsid w:val="006139E8"/>
    <w:rsid w:val="00613E13"/>
    <w:rsid w:val="00613EEA"/>
    <w:rsid w:val="0061473F"/>
    <w:rsid w:val="006147CD"/>
    <w:rsid w:val="00614BD0"/>
    <w:rsid w:val="00614CC7"/>
    <w:rsid w:val="006150BF"/>
    <w:rsid w:val="006151C3"/>
    <w:rsid w:val="00615AF6"/>
    <w:rsid w:val="00615F4C"/>
    <w:rsid w:val="00616419"/>
    <w:rsid w:val="00616DD4"/>
    <w:rsid w:val="00616F7F"/>
    <w:rsid w:val="0061777B"/>
    <w:rsid w:val="00617FB4"/>
    <w:rsid w:val="0062030E"/>
    <w:rsid w:val="00620761"/>
    <w:rsid w:val="00621075"/>
    <w:rsid w:val="0062140B"/>
    <w:rsid w:val="00621C9F"/>
    <w:rsid w:val="00622A5D"/>
    <w:rsid w:val="00622C77"/>
    <w:rsid w:val="0062333D"/>
    <w:rsid w:val="00623ABB"/>
    <w:rsid w:val="00623D9B"/>
    <w:rsid w:val="00623EEC"/>
    <w:rsid w:val="006240DB"/>
    <w:rsid w:val="00624467"/>
    <w:rsid w:val="00624C29"/>
    <w:rsid w:val="0062512F"/>
    <w:rsid w:val="006258F0"/>
    <w:rsid w:val="00625DDC"/>
    <w:rsid w:val="006262EE"/>
    <w:rsid w:val="00626330"/>
    <w:rsid w:val="00626DB8"/>
    <w:rsid w:val="00627A58"/>
    <w:rsid w:val="006309F3"/>
    <w:rsid w:val="00630F69"/>
    <w:rsid w:val="0063121B"/>
    <w:rsid w:val="00631757"/>
    <w:rsid w:val="00631E4F"/>
    <w:rsid w:val="0063226E"/>
    <w:rsid w:val="006329C4"/>
    <w:rsid w:val="00632AD4"/>
    <w:rsid w:val="00632E15"/>
    <w:rsid w:val="0063369B"/>
    <w:rsid w:val="006338B0"/>
    <w:rsid w:val="00633A4D"/>
    <w:rsid w:val="00633AB9"/>
    <w:rsid w:val="00633EBB"/>
    <w:rsid w:val="0063411A"/>
    <w:rsid w:val="0063427E"/>
    <w:rsid w:val="00634965"/>
    <w:rsid w:val="00635151"/>
    <w:rsid w:val="00635A8F"/>
    <w:rsid w:val="00635D10"/>
    <w:rsid w:val="00635E64"/>
    <w:rsid w:val="00636233"/>
    <w:rsid w:val="0063644D"/>
    <w:rsid w:val="00636CD6"/>
    <w:rsid w:val="00636DAE"/>
    <w:rsid w:val="006372B8"/>
    <w:rsid w:val="00637500"/>
    <w:rsid w:val="00637628"/>
    <w:rsid w:val="00637B7E"/>
    <w:rsid w:val="00640CEA"/>
    <w:rsid w:val="00640EE5"/>
    <w:rsid w:val="006410A3"/>
    <w:rsid w:val="00641C67"/>
    <w:rsid w:val="00642293"/>
    <w:rsid w:val="006423AA"/>
    <w:rsid w:val="00642A47"/>
    <w:rsid w:val="00642F67"/>
    <w:rsid w:val="006438AE"/>
    <w:rsid w:val="00644564"/>
    <w:rsid w:val="00644CAA"/>
    <w:rsid w:val="00644E79"/>
    <w:rsid w:val="00645654"/>
    <w:rsid w:val="00646254"/>
    <w:rsid w:val="0064632D"/>
    <w:rsid w:val="006469AA"/>
    <w:rsid w:val="00647203"/>
    <w:rsid w:val="00647254"/>
    <w:rsid w:val="0065076E"/>
    <w:rsid w:val="00650AB3"/>
    <w:rsid w:val="006512CA"/>
    <w:rsid w:val="006513AD"/>
    <w:rsid w:val="00651C55"/>
    <w:rsid w:val="00651C72"/>
    <w:rsid w:val="0065203A"/>
    <w:rsid w:val="006523C5"/>
    <w:rsid w:val="00652551"/>
    <w:rsid w:val="00652BED"/>
    <w:rsid w:val="00652D30"/>
    <w:rsid w:val="006540A0"/>
    <w:rsid w:val="00654242"/>
    <w:rsid w:val="0065474D"/>
    <w:rsid w:val="0065494F"/>
    <w:rsid w:val="00654BFC"/>
    <w:rsid w:val="00654C99"/>
    <w:rsid w:val="00654C9E"/>
    <w:rsid w:val="00655CA6"/>
    <w:rsid w:val="006565CC"/>
    <w:rsid w:val="0065669D"/>
    <w:rsid w:val="0065719A"/>
    <w:rsid w:val="006578BE"/>
    <w:rsid w:val="00657E18"/>
    <w:rsid w:val="00657EB7"/>
    <w:rsid w:val="0066035F"/>
    <w:rsid w:val="00660D13"/>
    <w:rsid w:val="006619D4"/>
    <w:rsid w:val="00661E94"/>
    <w:rsid w:val="0066217B"/>
    <w:rsid w:val="0066244D"/>
    <w:rsid w:val="00662B8D"/>
    <w:rsid w:val="00662C9A"/>
    <w:rsid w:val="0066321F"/>
    <w:rsid w:val="006634AD"/>
    <w:rsid w:val="006637A2"/>
    <w:rsid w:val="00663F8A"/>
    <w:rsid w:val="00664261"/>
    <w:rsid w:val="00664346"/>
    <w:rsid w:val="0066436D"/>
    <w:rsid w:val="006649DC"/>
    <w:rsid w:val="00664E6F"/>
    <w:rsid w:val="00664F6A"/>
    <w:rsid w:val="00665690"/>
    <w:rsid w:val="006659A4"/>
    <w:rsid w:val="00665A49"/>
    <w:rsid w:val="00665B84"/>
    <w:rsid w:val="00666BC3"/>
    <w:rsid w:val="00667396"/>
    <w:rsid w:val="006674E9"/>
    <w:rsid w:val="0066767A"/>
    <w:rsid w:val="00667F91"/>
    <w:rsid w:val="00670373"/>
    <w:rsid w:val="00670BF3"/>
    <w:rsid w:val="00671FD4"/>
    <w:rsid w:val="00672605"/>
    <w:rsid w:val="006726A3"/>
    <w:rsid w:val="0067293F"/>
    <w:rsid w:val="006729DA"/>
    <w:rsid w:val="00673348"/>
    <w:rsid w:val="006745E9"/>
    <w:rsid w:val="00674B22"/>
    <w:rsid w:val="00674B57"/>
    <w:rsid w:val="006759D3"/>
    <w:rsid w:val="0067652C"/>
    <w:rsid w:val="00676E87"/>
    <w:rsid w:val="00677974"/>
    <w:rsid w:val="00677DF3"/>
    <w:rsid w:val="006803A3"/>
    <w:rsid w:val="006807CA"/>
    <w:rsid w:val="00680936"/>
    <w:rsid w:val="00680B7D"/>
    <w:rsid w:val="00680C02"/>
    <w:rsid w:val="00680C56"/>
    <w:rsid w:val="00681398"/>
    <w:rsid w:val="0068172D"/>
    <w:rsid w:val="00681765"/>
    <w:rsid w:val="0068294B"/>
    <w:rsid w:val="00682AA0"/>
    <w:rsid w:val="00682DB5"/>
    <w:rsid w:val="00682F82"/>
    <w:rsid w:val="00683160"/>
    <w:rsid w:val="006833CD"/>
    <w:rsid w:val="00684706"/>
    <w:rsid w:val="00684920"/>
    <w:rsid w:val="00686074"/>
    <w:rsid w:val="0068681D"/>
    <w:rsid w:val="006904E9"/>
    <w:rsid w:val="00690DD3"/>
    <w:rsid w:val="0069108F"/>
    <w:rsid w:val="00692695"/>
    <w:rsid w:val="00693182"/>
    <w:rsid w:val="00694079"/>
    <w:rsid w:val="00694B42"/>
    <w:rsid w:val="00694C38"/>
    <w:rsid w:val="0069574C"/>
    <w:rsid w:val="006968B1"/>
    <w:rsid w:val="0069731C"/>
    <w:rsid w:val="006974D2"/>
    <w:rsid w:val="0069792C"/>
    <w:rsid w:val="006979FE"/>
    <w:rsid w:val="00697CB3"/>
    <w:rsid w:val="00697CB6"/>
    <w:rsid w:val="006A0658"/>
    <w:rsid w:val="006A13A4"/>
    <w:rsid w:val="006A18FF"/>
    <w:rsid w:val="006A1D97"/>
    <w:rsid w:val="006A2362"/>
    <w:rsid w:val="006A23DA"/>
    <w:rsid w:val="006A26F0"/>
    <w:rsid w:val="006A2879"/>
    <w:rsid w:val="006A291C"/>
    <w:rsid w:val="006A3098"/>
    <w:rsid w:val="006A3403"/>
    <w:rsid w:val="006A4280"/>
    <w:rsid w:val="006A4B29"/>
    <w:rsid w:val="006A55DA"/>
    <w:rsid w:val="006A59D0"/>
    <w:rsid w:val="006A5C25"/>
    <w:rsid w:val="006A71A2"/>
    <w:rsid w:val="006A7368"/>
    <w:rsid w:val="006A78C9"/>
    <w:rsid w:val="006A7A86"/>
    <w:rsid w:val="006A7AB6"/>
    <w:rsid w:val="006B0D70"/>
    <w:rsid w:val="006B0FFE"/>
    <w:rsid w:val="006B13CF"/>
    <w:rsid w:val="006B1C20"/>
    <w:rsid w:val="006B2090"/>
    <w:rsid w:val="006B27DD"/>
    <w:rsid w:val="006B2B24"/>
    <w:rsid w:val="006B2DE7"/>
    <w:rsid w:val="006B3307"/>
    <w:rsid w:val="006B336D"/>
    <w:rsid w:val="006B34D6"/>
    <w:rsid w:val="006B40EC"/>
    <w:rsid w:val="006B40FD"/>
    <w:rsid w:val="006B4C3C"/>
    <w:rsid w:val="006B5113"/>
    <w:rsid w:val="006B5363"/>
    <w:rsid w:val="006B6787"/>
    <w:rsid w:val="006B68E1"/>
    <w:rsid w:val="006B7F5F"/>
    <w:rsid w:val="006C092B"/>
    <w:rsid w:val="006C14EF"/>
    <w:rsid w:val="006C2292"/>
    <w:rsid w:val="006C2762"/>
    <w:rsid w:val="006C2D40"/>
    <w:rsid w:val="006C43D4"/>
    <w:rsid w:val="006C441B"/>
    <w:rsid w:val="006C46B2"/>
    <w:rsid w:val="006C4E25"/>
    <w:rsid w:val="006C55A2"/>
    <w:rsid w:val="006C577F"/>
    <w:rsid w:val="006C5B28"/>
    <w:rsid w:val="006C6063"/>
    <w:rsid w:val="006C636A"/>
    <w:rsid w:val="006C694D"/>
    <w:rsid w:val="006C74EE"/>
    <w:rsid w:val="006C7A99"/>
    <w:rsid w:val="006C7B45"/>
    <w:rsid w:val="006C7E4E"/>
    <w:rsid w:val="006D0614"/>
    <w:rsid w:val="006D0A3D"/>
    <w:rsid w:val="006D0ABB"/>
    <w:rsid w:val="006D0B80"/>
    <w:rsid w:val="006D17D0"/>
    <w:rsid w:val="006D21D5"/>
    <w:rsid w:val="006D2882"/>
    <w:rsid w:val="006D2A9C"/>
    <w:rsid w:val="006D2B2F"/>
    <w:rsid w:val="006D2FF6"/>
    <w:rsid w:val="006D370D"/>
    <w:rsid w:val="006D40E7"/>
    <w:rsid w:val="006D48FE"/>
    <w:rsid w:val="006D4CD0"/>
    <w:rsid w:val="006D5768"/>
    <w:rsid w:val="006D5B14"/>
    <w:rsid w:val="006D5E55"/>
    <w:rsid w:val="006D63E4"/>
    <w:rsid w:val="006D7E65"/>
    <w:rsid w:val="006E00EC"/>
    <w:rsid w:val="006E0E71"/>
    <w:rsid w:val="006E252E"/>
    <w:rsid w:val="006E2AE8"/>
    <w:rsid w:val="006E2D47"/>
    <w:rsid w:val="006E2DCD"/>
    <w:rsid w:val="006E3063"/>
    <w:rsid w:val="006E3280"/>
    <w:rsid w:val="006E34EA"/>
    <w:rsid w:val="006E3B70"/>
    <w:rsid w:val="006E40F8"/>
    <w:rsid w:val="006E4258"/>
    <w:rsid w:val="006E46BF"/>
    <w:rsid w:val="006E5953"/>
    <w:rsid w:val="006E6064"/>
    <w:rsid w:val="006E61B6"/>
    <w:rsid w:val="006E6796"/>
    <w:rsid w:val="006E6C85"/>
    <w:rsid w:val="006E7033"/>
    <w:rsid w:val="006E7A5D"/>
    <w:rsid w:val="006E7B49"/>
    <w:rsid w:val="006E7D3A"/>
    <w:rsid w:val="006F0948"/>
    <w:rsid w:val="006F0D44"/>
    <w:rsid w:val="006F236B"/>
    <w:rsid w:val="006F281D"/>
    <w:rsid w:val="006F2E24"/>
    <w:rsid w:val="006F302A"/>
    <w:rsid w:val="006F350B"/>
    <w:rsid w:val="006F355E"/>
    <w:rsid w:val="006F36E4"/>
    <w:rsid w:val="006F3C8F"/>
    <w:rsid w:val="006F3DB5"/>
    <w:rsid w:val="006F40C8"/>
    <w:rsid w:val="006F4121"/>
    <w:rsid w:val="006F4B4E"/>
    <w:rsid w:val="006F62F0"/>
    <w:rsid w:val="006F685C"/>
    <w:rsid w:val="006F6C22"/>
    <w:rsid w:val="006F6C25"/>
    <w:rsid w:val="006F70AD"/>
    <w:rsid w:val="006F717E"/>
    <w:rsid w:val="007000DB"/>
    <w:rsid w:val="00700697"/>
    <w:rsid w:val="00700783"/>
    <w:rsid w:val="0070092D"/>
    <w:rsid w:val="00700CF1"/>
    <w:rsid w:val="00700F06"/>
    <w:rsid w:val="0070117F"/>
    <w:rsid w:val="007014EF"/>
    <w:rsid w:val="007015EE"/>
    <w:rsid w:val="007029FA"/>
    <w:rsid w:val="00702E92"/>
    <w:rsid w:val="007031C5"/>
    <w:rsid w:val="00703F78"/>
    <w:rsid w:val="0070484B"/>
    <w:rsid w:val="007049A9"/>
    <w:rsid w:val="007051F8"/>
    <w:rsid w:val="00705D2D"/>
    <w:rsid w:val="00705F7A"/>
    <w:rsid w:val="007060B1"/>
    <w:rsid w:val="00706389"/>
    <w:rsid w:val="007065E9"/>
    <w:rsid w:val="00706AA4"/>
    <w:rsid w:val="00706ABD"/>
    <w:rsid w:val="007071FC"/>
    <w:rsid w:val="007074B7"/>
    <w:rsid w:val="00707788"/>
    <w:rsid w:val="00707958"/>
    <w:rsid w:val="00707C48"/>
    <w:rsid w:val="00707EB8"/>
    <w:rsid w:val="00710264"/>
    <w:rsid w:val="00710E51"/>
    <w:rsid w:val="00711876"/>
    <w:rsid w:val="007118FA"/>
    <w:rsid w:val="00711E13"/>
    <w:rsid w:val="00711F22"/>
    <w:rsid w:val="00712590"/>
    <w:rsid w:val="00712C63"/>
    <w:rsid w:val="0071313B"/>
    <w:rsid w:val="007134BF"/>
    <w:rsid w:val="00713803"/>
    <w:rsid w:val="00713984"/>
    <w:rsid w:val="0071400E"/>
    <w:rsid w:val="0071477F"/>
    <w:rsid w:val="0071513B"/>
    <w:rsid w:val="007151AE"/>
    <w:rsid w:val="00715686"/>
    <w:rsid w:val="0071581A"/>
    <w:rsid w:val="0071582C"/>
    <w:rsid w:val="00716046"/>
    <w:rsid w:val="00716160"/>
    <w:rsid w:val="0071631B"/>
    <w:rsid w:val="00716525"/>
    <w:rsid w:val="00717747"/>
    <w:rsid w:val="00717F18"/>
    <w:rsid w:val="00720219"/>
    <w:rsid w:val="007206B3"/>
    <w:rsid w:val="00721694"/>
    <w:rsid w:val="00721755"/>
    <w:rsid w:val="00721C49"/>
    <w:rsid w:val="00721DA1"/>
    <w:rsid w:val="00721FC1"/>
    <w:rsid w:val="00722592"/>
    <w:rsid w:val="007227F2"/>
    <w:rsid w:val="00722AAB"/>
    <w:rsid w:val="00722E43"/>
    <w:rsid w:val="0072411F"/>
    <w:rsid w:val="00724120"/>
    <w:rsid w:val="007241E3"/>
    <w:rsid w:val="007243B0"/>
    <w:rsid w:val="007243FE"/>
    <w:rsid w:val="00724C12"/>
    <w:rsid w:val="00725927"/>
    <w:rsid w:val="00725C90"/>
    <w:rsid w:val="00725D0B"/>
    <w:rsid w:val="00725EA9"/>
    <w:rsid w:val="00725F27"/>
    <w:rsid w:val="00726559"/>
    <w:rsid w:val="0072663B"/>
    <w:rsid w:val="00726C40"/>
    <w:rsid w:val="00726C9F"/>
    <w:rsid w:val="00727137"/>
    <w:rsid w:val="0072782C"/>
    <w:rsid w:val="00727986"/>
    <w:rsid w:val="007302AC"/>
    <w:rsid w:val="00730489"/>
    <w:rsid w:val="00730AEE"/>
    <w:rsid w:val="007321A2"/>
    <w:rsid w:val="007328D1"/>
    <w:rsid w:val="007340AB"/>
    <w:rsid w:val="0073420A"/>
    <w:rsid w:val="00734345"/>
    <w:rsid w:val="00734607"/>
    <w:rsid w:val="00734619"/>
    <w:rsid w:val="00734820"/>
    <w:rsid w:val="0073482E"/>
    <w:rsid w:val="00735199"/>
    <w:rsid w:val="007352C5"/>
    <w:rsid w:val="00735402"/>
    <w:rsid w:val="007356B0"/>
    <w:rsid w:val="007358F1"/>
    <w:rsid w:val="00735BB6"/>
    <w:rsid w:val="00735E5F"/>
    <w:rsid w:val="00735F3E"/>
    <w:rsid w:val="007368D0"/>
    <w:rsid w:val="00736BE7"/>
    <w:rsid w:val="00736EB5"/>
    <w:rsid w:val="007371E0"/>
    <w:rsid w:val="00737589"/>
    <w:rsid w:val="00737775"/>
    <w:rsid w:val="00737A3E"/>
    <w:rsid w:val="00737FCA"/>
    <w:rsid w:val="00740B42"/>
    <w:rsid w:val="00740B5A"/>
    <w:rsid w:val="00740CE2"/>
    <w:rsid w:val="007410D4"/>
    <w:rsid w:val="007413B7"/>
    <w:rsid w:val="00742145"/>
    <w:rsid w:val="0074237F"/>
    <w:rsid w:val="007427AE"/>
    <w:rsid w:val="00742E72"/>
    <w:rsid w:val="007431E8"/>
    <w:rsid w:val="00743229"/>
    <w:rsid w:val="007442C7"/>
    <w:rsid w:val="0074547B"/>
    <w:rsid w:val="007455B9"/>
    <w:rsid w:val="007455DB"/>
    <w:rsid w:val="0074594E"/>
    <w:rsid w:val="007459C5"/>
    <w:rsid w:val="007459FD"/>
    <w:rsid w:val="00745D05"/>
    <w:rsid w:val="00745DA2"/>
    <w:rsid w:val="00746B8F"/>
    <w:rsid w:val="00746D89"/>
    <w:rsid w:val="00746DF1"/>
    <w:rsid w:val="00747178"/>
    <w:rsid w:val="0074721E"/>
    <w:rsid w:val="00747740"/>
    <w:rsid w:val="0074783F"/>
    <w:rsid w:val="00747BA7"/>
    <w:rsid w:val="0075020D"/>
    <w:rsid w:val="00750368"/>
    <w:rsid w:val="00750645"/>
    <w:rsid w:val="007508D5"/>
    <w:rsid w:val="00751093"/>
    <w:rsid w:val="007511EE"/>
    <w:rsid w:val="0075134E"/>
    <w:rsid w:val="007513F9"/>
    <w:rsid w:val="007516FA"/>
    <w:rsid w:val="00751AE0"/>
    <w:rsid w:val="00752394"/>
    <w:rsid w:val="007524BD"/>
    <w:rsid w:val="00752AE4"/>
    <w:rsid w:val="00752B56"/>
    <w:rsid w:val="0075385E"/>
    <w:rsid w:val="007538C5"/>
    <w:rsid w:val="00754A0C"/>
    <w:rsid w:val="00754EC2"/>
    <w:rsid w:val="00754FC0"/>
    <w:rsid w:val="0075504D"/>
    <w:rsid w:val="00755572"/>
    <w:rsid w:val="00755657"/>
    <w:rsid w:val="00755998"/>
    <w:rsid w:val="00755A04"/>
    <w:rsid w:val="00755E62"/>
    <w:rsid w:val="0075614A"/>
    <w:rsid w:val="007566EC"/>
    <w:rsid w:val="00757F4E"/>
    <w:rsid w:val="007601EF"/>
    <w:rsid w:val="0076055C"/>
    <w:rsid w:val="007616CF"/>
    <w:rsid w:val="00761E62"/>
    <w:rsid w:val="00762308"/>
    <w:rsid w:val="00762457"/>
    <w:rsid w:val="00762844"/>
    <w:rsid w:val="00762A3B"/>
    <w:rsid w:val="00762DC3"/>
    <w:rsid w:val="0076392F"/>
    <w:rsid w:val="00763C32"/>
    <w:rsid w:val="00763CAA"/>
    <w:rsid w:val="00764351"/>
    <w:rsid w:val="0076507B"/>
    <w:rsid w:val="0076531A"/>
    <w:rsid w:val="0076591E"/>
    <w:rsid w:val="00766C33"/>
    <w:rsid w:val="00767082"/>
    <w:rsid w:val="007678FF"/>
    <w:rsid w:val="007679A8"/>
    <w:rsid w:val="00767C20"/>
    <w:rsid w:val="00767C4E"/>
    <w:rsid w:val="007702A8"/>
    <w:rsid w:val="007711FE"/>
    <w:rsid w:val="0077174E"/>
    <w:rsid w:val="00771ADD"/>
    <w:rsid w:val="00771DF6"/>
    <w:rsid w:val="00771F4E"/>
    <w:rsid w:val="00772068"/>
    <w:rsid w:val="00772292"/>
    <w:rsid w:val="00772566"/>
    <w:rsid w:val="0077268B"/>
    <w:rsid w:val="00772BA0"/>
    <w:rsid w:val="00772BB8"/>
    <w:rsid w:val="00773192"/>
    <w:rsid w:val="00773481"/>
    <w:rsid w:val="00773A18"/>
    <w:rsid w:val="00773EB3"/>
    <w:rsid w:val="00773F57"/>
    <w:rsid w:val="00774243"/>
    <w:rsid w:val="007746F5"/>
    <w:rsid w:val="0077481D"/>
    <w:rsid w:val="00775053"/>
    <w:rsid w:val="0077525F"/>
    <w:rsid w:val="0077598F"/>
    <w:rsid w:val="00775E18"/>
    <w:rsid w:val="00775F45"/>
    <w:rsid w:val="00776095"/>
    <w:rsid w:val="0077639B"/>
    <w:rsid w:val="007767C5"/>
    <w:rsid w:val="0077681E"/>
    <w:rsid w:val="00777554"/>
    <w:rsid w:val="00777884"/>
    <w:rsid w:val="00777891"/>
    <w:rsid w:val="00777C34"/>
    <w:rsid w:val="00780068"/>
    <w:rsid w:val="00780305"/>
    <w:rsid w:val="007803D8"/>
    <w:rsid w:val="0078051C"/>
    <w:rsid w:val="007806DE"/>
    <w:rsid w:val="007807A1"/>
    <w:rsid w:val="00780FE8"/>
    <w:rsid w:val="007815BB"/>
    <w:rsid w:val="00781659"/>
    <w:rsid w:val="00781B34"/>
    <w:rsid w:val="007822D8"/>
    <w:rsid w:val="007826FD"/>
    <w:rsid w:val="00782773"/>
    <w:rsid w:val="00783B13"/>
    <w:rsid w:val="00783D11"/>
    <w:rsid w:val="00784154"/>
    <w:rsid w:val="0078430C"/>
    <w:rsid w:val="00784533"/>
    <w:rsid w:val="00784970"/>
    <w:rsid w:val="00784C71"/>
    <w:rsid w:val="00785E50"/>
    <w:rsid w:val="007869E0"/>
    <w:rsid w:val="00786DFA"/>
    <w:rsid w:val="00786E4C"/>
    <w:rsid w:val="00786FC4"/>
    <w:rsid w:val="00787981"/>
    <w:rsid w:val="00787D0A"/>
    <w:rsid w:val="0079018A"/>
    <w:rsid w:val="0079058B"/>
    <w:rsid w:val="007913B5"/>
    <w:rsid w:val="00791450"/>
    <w:rsid w:val="00791EC6"/>
    <w:rsid w:val="0079238D"/>
    <w:rsid w:val="007924E3"/>
    <w:rsid w:val="00792F7E"/>
    <w:rsid w:val="00793117"/>
    <w:rsid w:val="007933FA"/>
    <w:rsid w:val="00793449"/>
    <w:rsid w:val="00793949"/>
    <w:rsid w:val="00794420"/>
    <w:rsid w:val="007948EC"/>
    <w:rsid w:val="00794F57"/>
    <w:rsid w:val="00795AF8"/>
    <w:rsid w:val="00795F35"/>
    <w:rsid w:val="0079715E"/>
    <w:rsid w:val="007973C6"/>
    <w:rsid w:val="00797CB6"/>
    <w:rsid w:val="007A0346"/>
    <w:rsid w:val="007A10E6"/>
    <w:rsid w:val="007A12C6"/>
    <w:rsid w:val="007A156D"/>
    <w:rsid w:val="007A1D7D"/>
    <w:rsid w:val="007A2762"/>
    <w:rsid w:val="007A2893"/>
    <w:rsid w:val="007A2A0F"/>
    <w:rsid w:val="007A2C0D"/>
    <w:rsid w:val="007A2DC6"/>
    <w:rsid w:val="007A31EB"/>
    <w:rsid w:val="007A329C"/>
    <w:rsid w:val="007A3362"/>
    <w:rsid w:val="007A3454"/>
    <w:rsid w:val="007A3894"/>
    <w:rsid w:val="007A38B4"/>
    <w:rsid w:val="007A4136"/>
    <w:rsid w:val="007A47B4"/>
    <w:rsid w:val="007A5189"/>
    <w:rsid w:val="007A583A"/>
    <w:rsid w:val="007A65FD"/>
    <w:rsid w:val="007A6690"/>
    <w:rsid w:val="007A6937"/>
    <w:rsid w:val="007A6F60"/>
    <w:rsid w:val="007A77B2"/>
    <w:rsid w:val="007A785E"/>
    <w:rsid w:val="007A7D0E"/>
    <w:rsid w:val="007A7FB1"/>
    <w:rsid w:val="007B014E"/>
    <w:rsid w:val="007B03E7"/>
    <w:rsid w:val="007B079F"/>
    <w:rsid w:val="007B086F"/>
    <w:rsid w:val="007B09FE"/>
    <w:rsid w:val="007B0A2F"/>
    <w:rsid w:val="007B0A5B"/>
    <w:rsid w:val="007B0F62"/>
    <w:rsid w:val="007B1467"/>
    <w:rsid w:val="007B1588"/>
    <w:rsid w:val="007B16D7"/>
    <w:rsid w:val="007B1F88"/>
    <w:rsid w:val="007B2ECC"/>
    <w:rsid w:val="007B38BB"/>
    <w:rsid w:val="007B3E0F"/>
    <w:rsid w:val="007B449E"/>
    <w:rsid w:val="007B4BEE"/>
    <w:rsid w:val="007B4FDA"/>
    <w:rsid w:val="007B51B4"/>
    <w:rsid w:val="007B5525"/>
    <w:rsid w:val="007B5628"/>
    <w:rsid w:val="007B575C"/>
    <w:rsid w:val="007B5CAA"/>
    <w:rsid w:val="007B5FF1"/>
    <w:rsid w:val="007B6600"/>
    <w:rsid w:val="007B6A6E"/>
    <w:rsid w:val="007B70AD"/>
    <w:rsid w:val="007B7247"/>
    <w:rsid w:val="007B767C"/>
    <w:rsid w:val="007B7ECE"/>
    <w:rsid w:val="007C002C"/>
    <w:rsid w:val="007C05B8"/>
    <w:rsid w:val="007C07E1"/>
    <w:rsid w:val="007C0919"/>
    <w:rsid w:val="007C117F"/>
    <w:rsid w:val="007C156F"/>
    <w:rsid w:val="007C1AB1"/>
    <w:rsid w:val="007C1AC1"/>
    <w:rsid w:val="007C286A"/>
    <w:rsid w:val="007C28CD"/>
    <w:rsid w:val="007C2910"/>
    <w:rsid w:val="007C2A08"/>
    <w:rsid w:val="007C2DE9"/>
    <w:rsid w:val="007C3130"/>
    <w:rsid w:val="007C31B2"/>
    <w:rsid w:val="007C3884"/>
    <w:rsid w:val="007C3A79"/>
    <w:rsid w:val="007C4730"/>
    <w:rsid w:val="007C56A7"/>
    <w:rsid w:val="007C576C"/>
    <w:rsid w:val="007C610F"/>
    <w:rsid w:val="007C62F2"/>
    <w:rsid w:val="007C6729"/>
    <w:rsid w:val="007C6F60"/>
    <w:rsid w:val="007C6F70"/>
    <w:rsid w:val="007C70FB"/>
    <w:rsid w:val="007C7300"/>
    <w:rsid w:val="007C7718"/>
    <w:rsid w:val="007C792F"/>
    <w:rsid w:val="007D0AA6"/>
    <w:rsid w:val="007D1704"/>
    <w:rsid w:val="007D1EDA"/>
    <w:rsid w:val="007D2C43"/>
    <w:rsid w:val="007D3945"/>
    <w:rsid w:val="007D3B42"/>
    <w:rsid w:val="007D3BB5"/>
    <w:rsid w:val="007D3FE3"/>
    <w:rsid w:val="007D41E9"/>
    <w:rsid w:val="007D43E5"/>
    <w:rsid w:val="007D4577"/>
    <w:rsid w:val="007D4AF4"/>
    <w:rsid w:val="007D4AFD"/>
    <w:rsid w:val="007D4B27"/>
    <w:rsid w:val="007D5650"/>
    <w:rsid w:val="007D5850"/>
    <w:rsid w:val="007D5966"/>
    <w:rsid w:val="007D5A8E"/>
    <w:rsid w:val="007D5D1B"/>
    <w:rsid w:val="007D615D"/>
    <w:rsid w:val="007D6B2F"/>
    <w:rsid w:val="007D73BF"/>
    <w:rsid w:val="007D77FA"/>
    <w:rsid w:val="007D7DF2"/>
    <w:rsid w:val="007E0044"/>
    <w:rsid w:val="007E01AC"/>
    <w:rsid w:val="007E0B05"/>
    <w:rsid w:val="007E0C84"/>
    <w:rsid w:val="007E0F91"/>
    <w:rsid w:val="007E1097"/>
    <w:rsid w:val="007E1427"/>
    <w:rsid w:val="007E1761"/>
    <w:rsid w:val="007E17C8"/>
    <w:rsid w:val="007E1F3C"/>
    <w:rsid w:val="007E2394"/>
    <w:rsid w:val="007E2BEE"/>
    <w:rsid w:val="007E307E"/>
    <w:rsid w:val="007E310F"/>
    <w:rsid w:val="007E34EC"/>
    <w:rsid w:val="007E3608"/>
    <w:rsid w:val="007E417D"/>
    <w:rsid w:val="007E5B43"/>
    <w:rsid w:val="007E61D4"/>
    <w:rsid w:val="007E667A"/>
    <w:rsid w:val="007E6C0C"/>
    <w:rsid w:val="007E70A1"/>
    <w:rsid w:val="007E75BC"/>
    <w:rsid w:val="007E7703"/>
    <w:rsid w:val="007F077B"/>
    <w:rsid w:val="007F0E44"/>
    <w:rsid w:val="007F1439"/>
    <w:rsid w:val="007F154C"/>
    <w:rsid w:val="007F22D6"/>
    <w:rsid w:val="007F230D"/>
    <w:rsid w:val="007F2390"/>
    <w:rsid w:val="007F2762"/>
    <w:rsid w:val="007F2B25"/>
    <w:rsid w:val="007F2BAD"/>
    <w:rsid w:val="007F345C"/>
    <w:rsid w:val="007F3BC3"/>
    <w:rsid w:val="007F416B"/>
    <w:rsid w:val="007F4739"/>
    <w:rsid w:val="007F4976"/>
    <w:rsid w:val="007F4D3D"/>
    <w:rsid w:val="007F518F"/>
    <w:rsid w:val="007F56B5"/>
    <w:rsid w:val="007F5D3F"/>
    <w:rsid w:val="007F79F6"/>
    <w:rsid w:val="007F7A1F"/>
    <w:rsid w:val="007F7F62"/>
    <w:rsid w:val="00800402"/>
    <w:rsid w:val="00800A12"/>
    <w:rsid w:val="00800A52"/>
    <w:rsid w:val="00800B4D"/>
    <w:rsid w:val="00800D35"/>
    <w:rsid w:val="00800DBC"/>
    <w:rsid w:val="00801F3D"/>
    <w:rsid w:val="00801FF0"/>
    <w:rsid w:val="0080254A"/>
    <w:rsid w:val="0080298D"/>
    <w:rsid w:val="00802A84"/>
    <w:rsid w:val="00802E89"/>
    <w:rsid w:val="00803232"/>
    <w:rsid w:val="00803BF0"/>
    <w:rsid w:val="00803FD1"/>
    <w:rsid w:val="00804EDD"/>
    <w:rsid w:val="008051B9"/>
    <w:rsid w:val="008055AD"/>
    <w:rsid w:val="00805828"/>
    <w:rsid w:val="00805BB3"/>
    <w:rsid w:val="00805C29"/>
    <w:rsid w:val="0080603F"/>
    <w:rsid w:val="00806832"/>
    <w:rsid w:val="00806E24"/>
    <w:rsid w:val="008071F3"/>
    <w:rsid w:val="008075C5"/>
    <w:rsid w:val="00807834"/>
    <w:rsid w:val="00810336"/>
    <w:rsid w:val="008107A7"/>
    <w:rsid w:val="008109CB"/>
    <w:rsid w:val="00811134"/>
    <w:rsid w:val="00812192"/>
    <w:rsid w:val="008123EF"/>
    <w:rsid w:val="0081253B"/>
    <w:rsid w:val="00813180"/>
    <w:rsid w:val="00813867"/>
    <w:rsid w:val="00813EDB"/>
    <w:rsid w:val="00814054"/>
    <w:rsid w:val="008141E1"/>
    <w:rsid w:val="00814B92"/>
    <w:rsid w:val="00814D6F"/>
    <w:rsid w:val="00814E5F"/>
    <w:rsid w:val="008152B4"/>
    <w:rsid w:val="0081548E"/>
    <w:rsid w:val="0081608C"/>
    <w:rsid w:val="00816743"/>
    <w:rsid w:val="00816AEB"/>
    <w:rsid w:val="008170E5"/>
    <w:rsid w:val="008171DA"/>
    <w:rsid w:val="00817282"/>
    <w:rsid w:val="008172A8"/>
    <w:rsid w:val="00817342"/>
    <w:rsid w:val="00817A69"/>
    <w:rsid w:val="00817C98"/>
    <w:rsid w:val="00817D00"/>
    <w:rsid w:val="00820298"/>
    <w:rsid w:val="008203ED"/>
    <w:rsid w:val="0082080F"/>
    <w:rsid w:val="00820EC5"/>
    <w:rsid w:val="00820ECC"/>
    <w:rsid w:val="00820FBD"/>
    <w:rsid w:val="00821C2E"/>
    <w:rsid w:val="0082268F"/>
    <w:rsid w:val="00822DA4"/>
    <w:rsid w:val="00822EB0"/>
    <w:rsid w:val="0082354F"/>
    <w:rsid w:val="00823742"/>
    <w:rsid w:val="00823764"/>
    <w:rsid w:val="0082382F"/>
    <w:rsid w:val="00824036"/>
    <w:rsid w:val="00824E16"/>
    <w:rsid w:val="00824F3C"/>
    <w:rsid w:val="00826743"/>
    <w:rsid w:val="00827573"/>
    <w:rsid w:val="00827AB3"/>
    <w:rsid w:val="00827F1B"/>
    <w:rsid w:val="00830608"/>
    <w:rsid w:val="008309D4"/>
    <w:rsid w:val="00830E71"/>
    <w:rsid w:val="00830F7E"/>
    <w:rsid w:val="008310B0"/>
    <w:rsid w:val="008312EC"/>
    <w:rsid w:val="00831525"/>
    <w:rsid w:val="0083164A"/>
    <w:rsid w:val="00831AA4"/>
    <w:rsid w:val="00831DD2"/>
    <w:rsid w:val="00831E35"/>
    <w:rsid w:val="00832102"/>
    <w:rsid w:val="008324E5"/>
    <w:rsid w:val="00832D62"/>
    <w:rsid w:val="008331F5"/>
    <w:rsid w:val="008337F0"/>
    <w:rsid w:val="00833DB6"/>
    <w:rsid w:val="00834084"/>
    <w:rsid w:val="008343B6"/>
    <w:rsid w:val="0083448E"/>
    <w:rsid w:val="008345E1"/>
    <w:rsid w:val="00834E6C"/>
    <w:rsid w:val="00835840"/>
    <w:rsid w:val="00835D35"/>
    <w:rsid w:val="00836091"/>
    <w:rsid w:val="00836569"/>
    <w:rsid w:val="00836781"/>
    <w:rsid w:val="00836A2B"/>
    <w:rsid w:val="0083718E"/>
    <w:rsid w:val="008373A1"/>
    <w:rsid w:val="00837A38"/>
    <w:rsid w:val="008403F3"/>
    <w:rsid w:val="00840586"/>
    <w:rsid w:val="00840761"/>
    <w:rsid w:val="00840786"/>
    <w:rsid w:val="0084112D"/>
    <w:rsid w:val="00841289"/>
    <w:rsid w:val="008413B1"/>
    <w:rsid w:val="00842861"/>
    <w:rsid w:val="00842C1C"/>
    <w:rsid w:val="00842E87"/>
    <w:rsid w:val="00843047"/>
    <w:rsid w:val="008430A1"/>
    <w:rsid w:val="0084384C"/>
    <w:rsid w:val="00843A82"/>
    <w:rsid w:val="00844064"/>
    <w:rsid w:val="008441CC"/>
    <w:rsid w:val="008442C7"/>
    <w:rsid w:val="008448B9"/>
    <w:rsid w:val="008452FB"/>
    <w:rsid w:val="0084565B"/>
    <w:rsid w:val="008457C7"/>
    <w:rsid w:val="00845D7F"/>
    <w:rsid w:val="008461F5"/>
    <w:rsid w:val="008462E0"/>
    <w:rsid w:val="00846392"/>
    <w:rsid w:val="00846C01"/>
    <w:rsid w:val="00846D18"/>
    <w:rsid w:val="0084716B"/>
    <w:rsid w:val="00847797"/>
    <w:rsid w:val="00847973"/>
    <w:rsid w:val="0085034B"/>
    <w:rsid w:val="00850721"/>
    <w:rsid w:val="00850C71"/>
    <w:rsid w:val="00850F08"/>
    <w:rsid w:val="0085140F"/>
    <w:rsid w:val="00851728"/>
    <w:rsid w:val="0085187E"/>
    <w:rsid w:val="008525D1"/>
    <w:rsid w:val="008527B9"/>
    <w:rsid w:val="00852A1B"/>
    <w:rsid w:val="00852C65"/>
    <w:rsid w:val="00852F7B"/>
    <w:rsid w:val="00853161"/>
    <w:rsid w:val="00853750"/>
    <w:rsid w:val="00853934"/>
    <w:rsid w:val="00853A20"/>
    <w:rsid w:val="00853F8B"/>
    <w:rsid w:val="0085481E"/>
    <w:rsid w:val="00854A4D"/>
    <w:rsid w:val="00854A60"/>
    <w:rsid w:val="00854D4A"/>
    <w:rsid w:val="008550BC"/>
    <w:rsid w:val="008552E0"/>
    <w:rsid w:val="00855343"/>
    <w:rsid w:val="00855ADB"/>
    <w:rsid w:val="00855CD2"/>
    <w:rsid w:val="00855F74"/>
    <w:rsid w:val="00856074"/>
    <w:rsid w:val="00856451"/>
    <w:rsid w:val="00856594"/>
    <w:rsid w:val="00856C3F"/>
    <w:rsid w:val="00857539"/>
    <w:rsid w:val="00857893"/>
    <w:rsid w:val="0086099C"/>
    <w:rsid w:val="00860A6B"/>
    <w:rsid w:val="00860C67"/>
    <w:rsid w:val="00861103"/>
    <w:rsid w:val="00861126"/>
    <w:rsid w:val="00861213"/>
    <w:rsid w:val="00861551"/>
    <w:rsid w:val="008625D8"/>
    <w:rsid w:val="0086281C"/>
    <w:rsid w:val="00862F92"/>
    <w:rsid w:val="00863D69"/>
    <w:rsid w:val="00863FFD"/>
    <w:rsid w:val="00864582"/>
    <w:rsid w:val="008648E8"/>
    <w:rsid w:val="00864C3E"/>
    <w:rsid w:val="00865B21"/>
    <w:rsid w:val="00865DF2"/>
    <w:rsid w:val="00865E38"/>
    <w:rsid w:val="008662CE"/>
    <w:rsid w:val="00866F3F"/>
    <w:rsid w:val="008677EC"/>
    <w:rsid w:val="00867F6E"/>
    <w:rsid w:val="00867F72"/>
    <w:rsid w:val="00867FDA"/>
    <w:rsid w:val="008707E8"/>
    <w:rsid w:val="00870B38"/>
    <w:rsid w:val="00871198"/>
    <w:rsid w:val="00871384"/>
    <w:rsid w:val="0087138F"/>
    <w:rsid w:val="00871457"/>
    <w:rsid w:val="00871591"/>
    <w:rsid w:val="008717F6"/>
    <w:rsid w:val="0087185D"/>
    <w:rsid w:val="0087195A"/>
    <w:rsid w:val="00871A07"/>
    <w:rsid w:val="00871AC9"/>
    <w:rsid w:val="008721A7"/>
    <w:rsid w:val="008726B6"/>
    <w:rsid w:val="008728EB"/>
    <w:rsid w:val="00872CE3"/>
    <w:rsid w:val="008730D9"/>
    <w:rsid w:val="00873AD9"/>
    <w:rsid w:val="008745C6"/>
    <w:rsid w:val="00874ACD"/>
    <w:rsid w:val="00874B2A"/>
    <w:rsid w:val="00874CD7"/>
    <w:rsid w:val="00874E89"/>
    <w:rsid w:val="008754A6"/>
    <w:rsid w:val="00875587"/>
    <w:rsid w:val="00875BAC"/>
    <w:rsid w:val="00875C8A"/>
    <w:rsid w:val="00875E65"/>
    <w:rsid w:val="0087745B"/>
    <w:rsid w:val="00877E1B"/>
    <w:rsid w:val="00877E93"/>
    <w:rsid w:val="008802AE"/>
    <w:rsid w:val="00880382"/>
    <w:rsid w:val="0088061B"/>
    <w:rsid w:val="0088065D"/>
    <w:rsid w:val="008808DE"/>
    <w:rsid w:val="008809AF"/>
    <w:rsid w:val="0088124C"/>
    <w:rsid w:val="008812C7"/>
    <w:rsid w:val="008824A3"/>
    <w:rsid w:val="00882C2B"/>
    <w:rsid w:val="00882E0D"/>
    <w:rsid w:val="00882F31"/>
    <w:rsid w:val="00883069"/>
    <w:rsid w:val="008830F9"/>
    <w:rsid w:val="008835DC"/>
    <w:rsid w:val="00883928"/>
    <w:rsid w:val="0088399A"/>
    <w:rsid w:val="00883F97"/>
    <w:rsid w:val="00884216"/>
    <w:rsid w:val="00884A2A"/>
    <w:rsid w:val="00884B80"/>
    <w:rsid w:val="00885160"/>
    <w:rsid w:val="00885278"/>
    <w:rsid w:val="00885385"/>
    <w:rsid w:val="00885E19"/>
    <w:rsid w:val="008862FF"/>
    <w:rsid w:val="00886618"/>
    <w:rsid w:val="00886914"/>
    <w:rsid w:val="00886AC4"/>
    <w:rsid w:val="00886B2E"/>
    <w:rsid w:val="00886EDE"/>
    <w:rsid w:val="00887210"/>
    <w:rsid w:val="00890972"/>
    <w:rsid w:val="008909E8"/>
    <w:rsid w:val="00890B44"/>
    <w:rsid w:val="00890E9D"/>
    <w:rsid w:val="00890FF9"/>
    <w:rsid w:val="0089180B"/>
    <w:rsid w:val="00892BCC"/>
    <w:rsid w:val="00892C25"/>
    <w:rsid w:val="00892F1E"/>
    <w:rsid w:val="00893044"/>
    <w:rsid w:val="00893E40"/>
    <w:rsid w:val="00893E7C"/>
    <w:rsid w:val="00894532"/>
    <w:rsid w:val="008945AE"/>
    <w:rsid w:val="00894BF3"/>
    <w:rsid w:val="00895057"/>
    <w:rsid w:val="008953D6"/>
    <w:rsid w:val="00895CA2"/>
    <w:rsid w:val="00895E63"/>
    <w:rsid w:val="008964A6"/>
    <w:rsid w:val="00896AB5"/>
    <w:rsid w:val="00896E4B"/>
    <w:rsid w:val="00896FB8"/>
    <w:rsid w:val="00897181"/>
    <w:rsid w:val="008978AE"/>
    <w:rsid w:val="008978B5"/>
    <w:rsid w:val="00897D0A"/>
    <w:rsid w:val="008A0268"/>
    <w:rsid w:val="008A05E5"/>
    <w:rsid w:val="008A061A"/>
    <w:rsid w:val="008A072F"/>
    <w:rsid w:val="008A08E3"/>
    <w:rsid w:val="008A0C24"/>
    <w:rsid w:val="008A0CC4"/>
    <w:rsid w:val="008A10B9"/>
    <w:rsid w:val="008A1312"/>
    <w:rsid w:val="008A2952"/>
    <w:rsid w:val="008A3163"/>
    <w:rsid w:val="008A40A8"/>
    <w:rsid w:val="008A43D1"/>
    <w:rsid w:val="008A4524"/>
    <w:rsid w:val="008A491C"/>
    <w:rsid w:val="008A532C"/>
    <w:rsid w:val="008A5528"/>
    <w:rsid w:val="008A55BB"/>
    <w:rsid w:val="008A5B6F"/>
    <w:rsid w:val="008A5D2C"/>
    <w:rsid w:val="008A61CD"/>
    <w:rsid w:val="008A6375"/>
    <w:rsid w:val="008A653A"/>
    <w:rsid w:val="008A6BFF"/>
    <w:rsid w:val="008A6E56"/>
    <w:rsid w:val="008A71B2"/>
    <w:rsid w:val="008B01FE"/>
    <w:rsid w:val="008B048E"/>
    <w:rsid w:val="008B0B0B"/>
    <w:rsid w:val="008B1041"/>
    <w:rsid w:val="008B1690"/>
    <w:rsid w:val="008B1A79"/>
    <w:rsid w:val="008B1A92"/>
    <w:rsid w:val="008B1B6C"/>
    <w:rsid w:val="008B1DE3"/>
    <w:rsid w:val="008B1ED3"/>
    <w:rsid w:val="008B21E1"/>
    <w:rsid w:val="008B2919"/>
    <w:rsid w:val="008B2A08"/>
    <w:rsid w:val="008B2A44"/>
    <w:rsid w:val="008B39AA"/>
    <w:rsid w:val="008B3C7D"/>
    <w:rsid w:val="008B3FE3"/>
    <w:rsid w:val="008B403A"/>
    <w:rsid w:val="008B4122"/>
    <w:rsid w:val="008B43CD"/>
    <w:rsid w:val="008B4994"/>
    <w:rsid w:val="008B4A36"/>
    <w:rsid w:val="008B51E1"/>
    <w:rsid w:val="008B56E8"/>
    <w:rsid w:val="008B6112"/>
    <w:rsid w:val="008B6848"/>
    <w:rsid w:val="008B6853"/>
    <w:rsid w:val="008B6CC8"/>
    <w:rsid w:val="008B6DFA"/>
    <w:rsid w:val="008B6FD1"/>
    <w:rsid w:val="008B7B6F"/>
    <w:rsid w:val="008B7E18"/>
    <w:rsid w:val="008B7E5F"/>
    <w:rsid w:val="008C0358"/>
    <w:rsid w:val="008C0ABC"/>
    <w:rsid w:val="008C16EF"/>
    <w:rsid w:val="008C17AB"/>
    <w:rsid w:val="008C20C8"/>
    <w:rsid w:val="008C22E4"/>
    <w:rsid w:val="008C26FF"/>
    <w:rsid w:val="008C2A60"/>
    <w:rsid w:val="008C3705"/>
    <w:rsid w:val="008C3828"/>
    <w:rsid w:val="008C3B00"/>
    <w:rsid w:val="008C41C1"/>
    <w:rsid w:val="008C42A0"/>
    <w:rsid w:val="008C468A"/>
    <w:rsid w:val="008C4E99"/>
    <w:rsid w:val="008C4F69"/>
    <w:rsid w:val="008C5074"/>
    <w:rsid w:val="008C5584"/>
    <w:rsid w:val="008C6098"/>
    <w:rsid w:val="008C62BD"/>
    <w:rsid w:val="008C636C"/>
    <w:rsid w:val="008C6DB1"/>
    <w:rsid w:val="008C6DC0"/>
    <w:rsid w:val="008C6E08"/>
    <w:rsid w:val="008C6E83"/>
    <w:rsid w:val="008C7609"/>
    <w:rsid w:val="008C7FD4"/>
    <w:rsid w:val="008D05BC"/>
    <w:rsid w:val="008D0E59"/>
    <w:rsid w:val="008D26DE"/>
    <w:rsid w:val="008D2A4C"/>
    <w:rsid w:val="008D2F9A"/>
    <w:rsid w:val="008D32CD"/>
    <w:rsid w:val="008D34FF"/>
    <w:rsid w:val="008D3AC1"/>
    <w:rsid w:val="008D4BCE"/>
    <w:rsid w:val="008D4BF4"/>
    <w:rsid w:val="008D4DF2"/>
    <w:rsid w:val="008D4F14"/>
    <w:rsid w:val="008D56AC"/>
    <w:rsid w:val="008D5A4C"/>
    <w:rsid w:val="008D698A"/>
    <w:rsid w:val="008D6A36"/>
    <w:rsid w:val="008D6BFC"/>
    <w:rsid w:val="008D6F80"/>
    <w:rsid w:val="008D751F"/>
    <w:rsid w:val="008D7EFB"/>
    <w:rsid w:val="008D7FA8"/>
    <w:rsid w:val="008D882F"/>
    <w:rsid w:val="008E006D"/>
    <w:rsid w:val="008E0200"/>
    <w:rsid w:val="008E0DCC"/>
    <w:rsid w:val="008E12F0"/>
    <w:rsid w:val="008E1493"/>
    <w:rsid w:val="008E16C1"/>
    <w:rsid w:val="008E23AE"/>
    <w:rsid w:val="008E2703"/>
    <w:rsid w:val="008E28E5"/>
    <w:rsid w:val="008E2E61"/>
    <w:rsid w:val="008E328A"/>
    <w:rsid w:val="008E36DA"/>
    <w:rsid w:val="008E37F1"/>
    <w:rsid w:val="008E3859"/>
    <w:rsid w:val="008E3861"/>
    <w:rsid w:val="008E3DCF"/>
    <w:rsid w:val="008E4809"/>
    <w:rsid w:val="008E4833"/>
    <w:rsid w:val="008E48A6"/>
    <w:rsid w:val="008E491A"/>
    <w:rsid w:val="008E58D6"/>
    <w:rsid w:val="008E5C83"/>
    <w:rsid w:val="008E603C"/>
    <w:rsid w:val="008E63B7"/>
    <w:rsid w:val="008E65BA"/>
    <w:rsid w:val="008E68B9"/>
    <w:rsid w:val="008E6955"/>
    <w:rsid w:val="008E6EB6"/>
    <w:rsid w:val="008E7510"/>
    <w:rsid w:val="008E764D"/>
    <w:rsid w:val="008E7825"/>
    <w:rsid w:val="008E7C16"/>
    <w:rsid w:val="008E7FDA"/>
    <w:rsid w:val="008F0008"/>
    <w:rsid w:val="008F0679"/>
    <w:rsid w:val="008F0ACF"/>
    <w:rsid w:val="008F0BE3"/>
    <w:rsid w:val="008F1182"/>
    <w:rsid w:val="008F143C"/>
    <w:rsid w:val="008F1C33"/>
    <w:rsid w:val="008F23FD"/>
    <w:rsid w:val="008F2559"/>
    <w:rsid w:val="008F2A9E"/>
    <w:rsid w:val="008F3845"/>
    <w:rsid w:val="008F390E"/>
    <w:rsid w:val="008F4958"/>
    <w:rsid w:val="008F4B58"/>
    <w:rsid w:val="008F5917"/>
    <w:rsid w:val="008F5D8B"/>
    <w:rsid w:val="008F6907"/>
    <w:rsid w:val="008F6E43"/>
    <w:rsid w:val="008F7365"/>
    <w:rsid w:val="008F7936"/>
    <w:rsid w:val="008F7988"/>
    <w:rsid w:val="008F7FB7"/>
    <w:rsid w:val="00900165"/>
    <w:rsid w:val="00900561"/>
    <w:rsid w:val="00900B72"/>
    <w:rsid w:val="00900BE6"/>
    <w:rsid w:val="00901F12"/>
    <w:rsid w:val="009024CD"/>
    <w:rsid w:val="009027BD"/>
    <w:rsid w:val="009029EA"/>
    <w:rsid w:val="00903446"/>
    <w:rsid w:val="00903BD1"/>
    <w:rsid w:val="009042F2"/>
    <w:rsid w:val="009044F4"/>
    <w:rsid w:val="00904959"/>
    <w:rsid w:val="00904AEC"/>
    <w:rsid w:val="00904EB1"/>
    <w:rsid w:val="009052D9"/>
    <w:rsid w:val="009057A3"/>
    <w:rsid w:val="00905C13"/>
    <w:rsid w:val="00906179"/>
    <w:rsid w:val="00906A55"/>
    <w:rsid w:val="00906D1F"/>
    <w:rsid w:val="0090705A"/>
    <w:rsid w:val="00907181"/>
    <w:rsid w:val="00907935"/>
    <w:rsid w:val="00910969"/>
    <w:rsid w:val="009109D2"/>
    <w:rsid w:val="00910C1C"/>
    <w:rsid w:val="0091141B"/>
    <w:rsid w:val="00911BCF"/>
    <w:rsid w:val="00912648"/>
    <w:rsid w:val="00912887"/>
    <w:rsid w:val="00912B88"/>
    <w:rsid w:val="00913028"/>
    <w:rsid w:val="00913198"/>
    <w:rsid w:val="009135FD"/>
    <w:rsid w:val="00913E9B"/>
    <w:rsid w:val="0091407A"/>
    <w:rsid w:val="00914DE2"/>
    <w:rsid w:val="0091512E"/>
    <w:rsid w:val="0091545E"/>
    <w:rsid w:val="009156D2"/>
    <w:rsid w:val="00915FA6"/>
    <w:rsid w:val="009163C4"/>
    <w:rsid w:val="009167FE"/>
    <w:rsid w:val="00916E14"/>
    <w:rsid w:val="009171B1"/>
    <w:rsid w:val="0091730A"/>
    <w:rsid w:val="0091738A"/>
    <w:rsid w:val="00920B30"/>
    <w:rsid w:val="00920F07"/>
    <w:rsid w:val="00921430"/>
    <w:rsid w:val="00921BC7"/>
    <w:rsid w:val="009222D6"/>
    <w:rsid w:val="00922F23"/>
    <w:rsid w:val="009234EB"/>
    <w:rsid w:val="009242B6"/>
    <w:rsid w:val="009242E9"/>
    <w:rsid w:val="009245A8"/>
    <w:rsid w:val="009259D0"/>
    <w:rsid w:val="009260A8"/>
    <w:rsid w:val="00926600"/>
    <w:rsid w:val="00926D5E"/>
    <w:rsid w:val="00926F85"/>
    <w:rsid w:val="00927243"/>
    <w:rsid w:val="0093003E"/>
    <w:rsid w:val="00930FA1"/>
    <w:rsid w:val="009310A6"/>
    <w:rsid w:val="00931636"/>
    <w:rsid w:val="00931E57"/>
    <w:rsid w:val="009321E7"/>
    <w:rsid w:val="0093220D"/>
    <w:rsid w:val="00933A77"/>
    <w:rsid w:val="0093429E"/>
    <w:rsid w:val="0093496B"/>
    <w:rsid w:val="00934A2F"/>
    <w:rsid w:val="00934E68"/>
    <w:rsid w:val="00934F4B"/>
    <w:rsid w:val="009353A6"/>
    <w:rsid w:val="009354E4"/>
    <w:rsid w:val="009357FF"/>
    <w:rsid w:val="00935E3F"/>
    <w:rsid w:val="0093604D"/>
    <w:rsid w:val="009362C4"/>
    <w:rsid w:val="0093639D"/>
    <w:rsid w:val="009364F2"/>
    <w:rsid w:val="00936654"/>
    <w:rsid w:val="009367F7"/>
    <w:rsid w:val="00936804"/>
    <w:rsid w:val="0093770B"/>
    <w:rsid w:val="009379D7"/>
    <w:rsid w:val="00937A24"/>
    <w:rsid w:val="00937DC3"/>
    <w:rsid w:val="0094010B"/>
    <w:rsid w:val="009401E0"/>
    <w:rsid w:val="009405D4"/>
    <w:rsid w:val="00940C5F"/>
    <w:rsid w:val="0094136E"/>
    <w:rsid w:val="00941658"/>
    <w:rsid w:val="0094166B"/>
    <w:rsid w:val="0094277A"/>
    <w:rsid w:val="00942CE8"/>
    <w:rsid w:val="00942DD8"/>
    <w:rsid w:val="00943299"/>
    <w:rsid w:val="0094371F"/>
    <w:rsid w:val="009438E0"/>
    <w:rsid w:val="00943AD3"/>
    <w:rsid w:val="00943D34"/>
    <w:rsid w:val="009460AB"/>
    <w:rsid w:val="00946538"/>
    <w:rsid w:val="00946D27"/>
    <w:rsid w:val="00946DA8"/>
    <w:rsid w:val="00947805"/>
    <w:rsid w:val="009501FD"/>
    <w:rsid w:val="009508C9"/>
    <w:rsid w:val="0095095F"/>
    <w:rsid w:val="009511AE"/>
    <w:rsid w:val="0095133E"/>
    <w:rsid w:val="0095156E"/>
    <w:rsid w:val="009515B7"/>
    <w:rsid w:val="00951630"/>
    <w:rsid w:val="00951896"/>
    <w:rsid w:val="00951F06"/>
    <w:rsid w:val="00952404"/>
    <w:rsid w:val="0095262C"/>
    <w:rsid w:val="0095270D"/>
    <w:rsid w:val="00952964"/>
    <w:rsid w:val="00953421"/>
    <w:rsid w:val="0095342A"/>
    <w:rsid w:val="00954076"/>
    <w:rsid w:val="00954387"/>
    <w:rsid w:val="00955500"/>
    <w:rsid w:val="009556E4"/>
    <w:rsid w:val="00955823"/>
    <w:rsid w:val="00955C67"/>
    <w:rsid w:val="00955D1A"/>
    <w:rsid w:val="00955D45"/>
    <w:rsid w:val="00956118"/>
    <w:rsid w:val="00956A2C"/>
    <w:rsid w:val="00956EF7"/>
    <w:rsid w:val="009571A3"/>
    <w:rsid w:val="009572A2"/>
    <w:rsid w:val="00957A0F"/>
    <w:rsid w:val="00957CCD"/>
    <w:rsid w:val="00957D70"/>
    <w:rsid w:val="00960344"/>
    <w:rsid w:val="00960462"/>
    <w:rsid w:val="0096073C"/>
    <w:rsid w:val="00960BB6"/>
    <w:rsid w:val="00960C3B"/>
    <w:rsid w:val="00961576"/>
    <w:rsid w:val="00961BEA"/>
    <w:rsid w:val="0096245E"/>
    <w:rsid w:val="00962A9E"/>
    <w:rsid w:val="00962C51"/>
    <w:rsid w:val="00963005"/>
    <w:rsid w:val="009630F7"/>
    <w:rsid w:val="0096336E"/>
    <w:rsid w:val="0096343C"/>
    <w:rsid w:val="00963735"/>
    <w:rsid w:val="00963C9D"/>
    <w:rsid w:val="009640EE"/>
    <w:rsid w:val="00965293"/>
    <w:rsid w:val="009653C7"/>
    <w:rsid w:val="00965835"/>
    <w:rsid w:val="00965ADE"/>
    <w:rsid w:val="0096617A"/>
    <w:rsid w:val="00966595"/>
    <w:rsid w:val="009667A0"/>
    <w:rsid w:val="0096756F"/>
    <w:rsid w:val="00967915"/>
    <w:rsid w:val="00970710"/>
    <w:rsid w:val="00971211"/>
    <w:rsid w:val="009735FA"/>
    <w:rsid w:val="00973641"/>
    <w:rsid w:val="00975F3F"/>
    <w:rsid w:val="00976003"/>
    <w:rsid w:val="009766CC"/>
    <w:rsid w:val="009769FA"/>
    <w:rsid w:val="00976B3B"/>
    <w:rsid w:val="00976CB6"/>
    <w:rsid w:val="00976EA9"/>
    <w:rsid w:val="009778AB"/>
    <w:rsid w:val="00977FAD"/>
    <w:rsid w:val="00980AC9"/>
    <w:rsid w:val="00980CF2"/>
    <w:rsid w:val="00981134"/>
    <w:rsid w:val="009814CC"/>
    <w:rsid w:val="009816EB"/>
    <w:rsid w:val="00981B3E"/>
    <w:rsid w:val="00981BC7"/>
    <w:rsid w:val="00981D8A"/>
    <w:rsid w:val="00982589"/>
    <w:rsid w:val="0098265D"/>
    <w:rsid w:val="00982771"/>
    <w:rsid w:val="00983910"/>
    <w:rsid w:val="00984BEA"/>
    <w:rsid w:val="00984BF1"/>
    <w:rsid w:val="00985047"/>
    <w:rsid w:val="00985489"/>
    <w:rsid w:val="00985531"/>
    <w:rsid w:val="009855D9"/>
    <w:rsid w:val="0098561B"/>
    <w:rsid w:val="00986A0E"/>
    <w:rsid w:val="00986AD4"/>
    <w:rsid w:val="00986CA0"/>
    <w:rsid w:val="0098712B"/>
    <w:rsid w:val="009877F2"/>
    <w:rsid w:val="00987AAA"/>
    <w:rsid w:val="0099006C"/>
    <w:rsid w:val="00990A20"/>
    <w:rsid w:val="00990ABC"/>
    <w:rsid w:val="00991591"/>
    <w:rsid w:val="00991FBA"/>
    <w:rsid w:val="009920AE"/>
    <w:rsid w:val="009920F6"/>
    <w:rsid w:val="009922EF"/>
    <w:rsid w:val="00992543"/>
    <w:rsid w:val="0099265C"/>
    <w:rsid w:val="00992E58"/>
    <w:rsid w:val="009932C2"/>
    <w:rsid w:val="00993842"/>
    <w:rsid w:val="00993886"/>
    <w:rsid w:val="00993B2A"/>
    <w:rsid w:val="00994B12"/>
    <w:rsid w:val="00994C25"/>
    <w:rsid w:val="00994FAD"/>
    <w:rsid w:val="00995EC1"/>
    <w:rsid w:val="00995F26"/>
    <w:rsid w:val="009960DA"/>
    <w:rsid w:val="00996111"/>
    <w:rsid w:val="00996ABC"/>
    <w:rsid w:val="00996BBD"/>
    <w:rsid w:val="0099735E"/>
    <w:rsid w:val="00997677"/>
    <w:rsid w:val="009A03E1"/>
    <w:rsid w:val="009A0715"/>
    <w:rsid w:val="009A0A19"/>
    <w:rsid w:val="009A0D92"/>
    <w:rsid w:val="009A0E23"/>
    <w:rsid w:val="009A148D"/>
    <w:rsid w:val="009A19F3"/>
    <w:rsid w:val="009A22B0"/>
    <w:rsid w:val="009A24D7"/>
    <w:rsid w:val="009A2990"/>
    <w:rsid w:val="009A2A8E"/>
    <w:rsid w:val="009A2E27"/>
    <w:rsid w:val="009A3B80"/>
    <w:rsid w:val="009A3BF6"/>
    <w:rsid w:val="009A3E9E"/>
    <w:rsid w:val="009A4662"/>
    <w:rsid w:val="009A4813"/>
    <w:rsid w:val="009A48CC"/>
    <w:rsid w:val="009A4DE5"/>
    <w:rsid w:val="009A5398"/>
    <w:rsid w:val="009A5412"/>
    <w:rsid w:val="009A553F"/>
    <w:rsid w:val="009A568B"/>
    <w:rsid w:val="009A5C21"/>
    <w:rsid w:val="009A5DDF"/>
    <w:rsid w:val="009A5E30"/>
    <w:rsid w:val="009A5F63"/>
    <w:rsid w:val="009A632F"/>
    <w:rsid w:val="009A6560"/>
    <w:rsid w:val="009A65BB"/>
    <w:rsid w:val="009A76F5"/>
    <w:rsid w:val="009B08C7"/>
    <w:rsid w:val="009B0D17"/>
    <w:rsid w:val="009B1118"/>
    <w:rsid w:val="009B124F"/>
    <w:rsid w:val="009B137D"/>
    <w:rsid w:val="009B1512"/>
    <w:rsid w:val="009B29E5"/>
    <w:rsid w:val="009B2E78"/>
    <w:rsid w:val="009B312E"/>
    <w:rsid w:val="009B3590"/>
    <w:rsid w:val="009B3624"/>
    <w:rsid w:val="009B3DBB"/>
    <w:rsid w:val="009B4371"/>
    <w:rsid w:val="009B4487"/>
    <w:rsid w:val="009B4742"/>
    <w:rsid w:val="009B4A87"/>
    <w:rsid w:val="009B5205"/>
    <w:rsid w:val="009B530B"/>
    <w:rsid w:val="009B5978"/>
    <w:rsid w:val="009B59F1"/>
    <w:rsid w:val="009B64E7"/>
    <w:rsid w:val="009B7164"/>
    <w:rsid w:val="009B7B4B"/>
    <w:rsid w:val="009C01DF"/>
    <w:rsid w:val="009C02E7"/>
    <w:rsid w:val="009C04C4"/>
    <w:rsid w:val="009C05E7"/>
    <w:rsid w:val="009C05F6"/>
    <w:rsid w:val="009C084B"/>
    <w:rsid w:val="009C09CD"/>
    <w:rsid w:val="009C0A75"/>
    <w:rsid w:val="009C0AA2"/>
    <w:rsid w:val="009C108A"/>
    <w:rsid w:val="009C12B8"/>
    <w:rsid w:val="009C1316"/>
    <w:rsid w:val="009C1886"/>
    <w:rsid w:val="009C1909"/>
    <w:rsid w:val="009C1E71"/>
    <w:rsid w:val="009C2328"/>
    <w:rsid w:val="009C2357"/>
    <w:rsid w:val="009C2724"/>
    <w:rsid w:val="009C297C"/>
    <w:rsid w:val="009C31AB"/>
    <w:rsid w:val="009C4004"/>
    <w:rsid w:val="009C40AF"/>
    <w:rsid w:val="009C4161"/>
    <w:rsid w:val="009C4BC5"/>
    <w:rsid w:val="009C4F25"/>
    <w:rsid w:val="009C4F77"/>
    <w:rsid w:val="009C50CC"/>
    <w:rsid w:val="009C5A5C"/>
    <w:rsid w:val="009C5B6E"/>
    <w:rsid w:val="009C5C21"/>
    <w:rsid w:val="009C60FB"/>
    <w:rsid w:val="009C68D9"/>
    <w:rsid w:val="009C6FFD"/>
    <w:rsid w:val="009C7929"/>
    <w:rsid w:val="009D0C8B"/>
    <w:rsid w:val="009D0F1B"/>
    <w:rsid w:val="009D16C5"/>
    <w:rsid w:val="009D1C4A"/>
    <w:rsid w:val="009D1F7F"/>
    <w:rsid w:val="009D2214"/>
    <w:rsid w:val="009D2376"/>
    <w:rsid w:val="009D2CE4"/>
    <w:rsid w:val="009D2F27"/>
    <w:rsid w:val="009D345E"/>
    <w:rsid w:val="009D3AA5"/>
    <w:rsid w:val="009D4757"/>
    <w:rsid w:val="009D47D1"/>
    <w:rsid w:val="009D4AA6"/>
    <w:rsid w:val="009D4C76"/>
    <w:rsid w:val="009D55E9"/>
    <w:rsid w:val="009D588F"/>
    <w:rsid w:val="009D73D5"/>
    <w:rsid w:val="009D772D"/>
    <w:rsid w:val="009D7DDA"/>
    <w:rsid w:val="009E0679"/>
    <w:rsid w:val="009E0801"/>
    <w:rsid w:val="009E0E83"/>
    <w:rsid w:val="009E18F4"/>
    <w:rsid w:val="009E19BB"/>
    <w:rsid w:val="009E2733"/>
    <w:rsid w:val="009E29C6"/>
    <w:rsid w:val="009E2B48"/>
    <w:rsid w:val="009E2BC3"/>
    <w:rsid w:val="009E2DD4"/>
    <w:rsid w:val="009E2EDE"/>
    <w:rsid w:val="009E2EFE"/>
    <w:rsid w:val="009E2FE5"/>
    <w:rsid w:val="009E3AD8"/>
    <w:rsid w:val="009E3C8B"/>
    <w:rsid w:val="009E3D93"/>
    <w:rsid w:val="009E3F09"/>
    <w:rsid w:val="009E494F"/>
    <w:rsid w:val="009E4CE1"/>
    <w:rsid w:val="009E58EC"/>
    <w:rsid w:val="009E5D52"/>
    <w:rsid w:val="009E6132"/>
    <w:rsid w:val="009E6889"/>
    <w:rsid w:val="009E755D"/>
    <w:rsid w:val="009E7640"/>
    <w:rsid w:val="009E77A2"/>
    <w:rsid w:val="009F0065"/>
    <w:rsid w:val="009F02FA"/>
    <w:rsid w:val="009F0B5B"/>
    <w:rsid w:val="009F1211"/>
    <w:rsid w:val="009F14AC"/>
    <w:rsid w:val="009F1922"/>
    <w:rsid w:val="009F1C0F"/>
    <w:rsid w:val="009F2E8E"/>
    <w:rsid w:val="009F327E"/>
    <w:rsid w:val="009F35E8"/>
    <w:rsid w:val="009F395B"/>
    <w:rsid w:val="009F3BAD"/>
    <w:rsid w:val="009F3DE4"/>
    <w:rsid w:val="009F4045"/>
    <w:rsid w:val="009F58B5"/>
    <w:rsid w:val="009F5ADD"/>
    <w:rsid w:val="009F6323"/>
    <w:rsid w:val="009F6E37"/>
    <w:rsid w:val="009F6F76"/>
    <w:rsid w:val="009F7374"/>
    <w:rsid w:val="009F7753"/>
    <w:rsid w:val="009F7D4F"/>
    <w:rsid w:val="009F7DC1"/>
    <w:rsid w:val="00A0011D"/>
    <w:rsid w:val="00A00404"/>
    <w:rsid w:val="00A006A0"/>
    <w:rsid w:val="00A00EB5"/>
    <w:rsid w:val="00A01122"/>
    <w:rsid w:val="00A01F06"/>
    <w:rsid w:val="00A020CF"/>
    <w:rsid w:val="00A02273"/>
    <w:rsid w:val="00A022C8"/>
    <w:rsid w:val="00A024A4"/>
    <w:rsid w:val="00A02648"/>
    <w:rsid w:val="00A0297D"/>
    <w:rsid w:val="00A02E7D"/>
    <w:rsid w:val="00A034A6"/>
    <w:rsid w:val="00A0357B"/>
    <w:rsid w:val="00A03C11"/>
    <w:rsid w:val="00A04529"/>
    <w:rsid w:val="00A04687"/>
    <w:rsid w:val="00A049B9"/>
    <w:rsid w:val="00A0553F"/>
    <w:rsid w:val="00A05583"/>
    <w:rsid w:val="00A05652"/>
    <w:rsid w:val="00A0590F"/>
    <w:rsid w:val="00A067B2"/>
    <w:rsid w:val="00A06861"/>
    <w:rsid w:val="00A06B70"/>
    <w:rsid w:val="00A06D4C"/>
    <w:rsid w:val="00A07376"/>
    <w:rsid w:val="00A07453"/>
    <w:rsid w:val="00A07D59"/>
    <w:rsid w:val="00A10023"/>
    <w:rsid w:val="00A103C8"/>
    <w:rsid w:val="00A10461"/>
    <w:rsid w:val="00A10562"/>
    <w:rsid w:val="00A10C20"/>
    <w:rsid w:val="00A10E8B"/>
    <w:rsid w:val="00A10F3E"/>
    <w:rsid w:val="00A11585"/>
    <w:rsid w:val="00A1214F"/>
    <w:rsid w:val="00A12257"/>
    <w:rsid w:val="00A12C25"/>
    <w:rsid w:val="00A12D3F"/>
    <w:rsid w:val="00A140CA"/>
    <w:rsid w:val="00A14318"/>
    <w:rsid w:val="00A14A49"/>
    <w:rsid w:val="00A14C3E"/>
    <w:rsid w:val="00A14FFF"/>
    <w:rsid w:val="00A1520F"/>
    <w:rsid w:val="00A1541C"/>
    <w:rsid w:val="00A156EC"/>
    <w:rsid w:val="00A15AC6"/>
    <w:rsid w:val="00A1678E"/>
    <w:rsid w:val="00A17180"/>
    <w:rsid w:val="00A179D5"/>
    <w:rsid w:val="00A17BB3"/>
    <w:rsid w:val="00A20177"/>
    <w:rsid w:val="00A210AE"/>
    <w:rsid w:val="00A210C1"/>
    <w:rsid w:val="00A211F1"/>
    <w:rsid w:val="00A217A0"/>
    <w:rsid w:val="00A21AF4"/>
    <w:rsid w:val="00A22372"/>
    <w:rsid w:val="00A224B4"/>
    <w:rsid w:val="00A22707"/>
    <w:rsid w:val="00A22E9B"/>
    <w:rsid w:val="00A23C2C"/>
    <w:rsid w:val="00A23F25"/>
    <w:rsid w:val="00A24446"/>
    <w:rsid w:val="00A24B74"/>
    <w:rsid w:val="00A250B0"/>
    <w:rsid w:val="00A2526C"/>
    <w:rsid w:val="00A2531C"/>
    <w:rsid w:val="00A25681"/>
    <w:rsid w:val="00A25717"/>
    <w:rsid w:val="00A25C0B"/>
    <w:rsid w:val="00A265C8"/>
    <w:rsid w:val="00A270CF"/>
    <w:rsid w:val="00A275C4"/>
    <w:rsid w:val="00A2771D"/>
    <w:rsid w:val="00A27D75"/>
    <w:rsid w:val="00A30030"/>
    <w:rsid w:val="00A30242"/>
    <w:rsid w:val="00A307EC"/>
    <w:rsid w:val="00A316AC"/>
    <w:rsid w:val="00A31980"/>
    <w:rsid w:val="00A32C9C"/>
    <w:rsid w:val="00A32D92"/>
    <w:rsid w:val="00A32E8D"/>
    <w:rsid w:val="00A33646"/>
    <w:rsid w:val="00A33808"/>
    <w:rsid w:val="00A33E75"/>
    <w:rsid w:val="00A340AE"/>
    <w:rsid w:val="00A348B0"/>
    <w:rsid w:val="00A35B04"/>
    <w:rsid w:val="00A367D4"/>
    <w:rsid w:val="00A36BE1"/>
    <w:rsid w:val="00A372EE"/>
    <w:rsid w:val="00A376A4"/>
    <w:rsid w:val="00A37BD2"/>
    <w:rsid w:val="00A37DD5"/>
    <w:rsid w:val="00A4094A"/>
    <w:rsid w:val="00A40DA8"/>
    <w:rsid w:val="00A40DBC"/>
    <w:rsid w:val="00A40E48"/>
    <w:rsid w:val="00A40EE1"/>
    <w:rsid w:val="00A40F02"/>
    <w:rsid w:val="00A40FCA"/>
    <w:rsid w:val="00A4101E"/>
    <w:rsid w:val="00A41191"/>
    <w:rsid w:val="00A41388"/>
    <w:rsid w:val="00A414F8"/>
    <w:rsid w:val="00A41B05"/>
    <w:rsid w:val="00A4206F"/>
    <w:rsid w:val="00A420F6"/>
    <w:rsid w:val="00A43955"/>
    <w:rsid w:val="00A43EC3"/>
    <w:rsid w:val="00A44AD1"/>
    <w:rsid w:val="00A44EB4"/>
    <w:rsid w:val="00A455B9"/>
    <w:rsid w:val="00A457B7"/>
    <w:rsid w:val="00A45928"/>
    <w:rsid w:val="00A45A4D"/>
    <w:rsid w:val="00A45F8F"/>
    <w:rsid w:val="00A46188"/>
    <w:rsid w:val="00A467D6"/>
    <w:rsid w:val="00A46B02"/>
    <w:rsid w:val="00A46FD7"/>
    <w:rsid w:val="00A47091"/>
    <w:rsid w:val="00A4719A"/>
    <w:rsid w:val="00A47A21"/>
    <w:rsid w:val="00A47D67"/>
    <w:rsid w:val="00A5093E"/>
    <w:rsid w:val="00A50980"/>
    <w:rsid w:val="00A50C29"/>
    <w:rsid w:val="00A5106D"/>
    <w:rsid w:val="00A51565"/>
    <w:rsid w:val="00A51E42"/>
    <w:rsid w:val="00A52056"/>
    <w:rsid w:val="00A52B82"/>
    <w:rsid w:val="00A5350C"/>
    <w:rsid w:val="00A53565"/>
    <w:rsid w:val="00A53B65"/>
    <w:rsid w:val="00A53FD0"/>
    <w:rsid w:val="00A540C6"/>
    <w:rsid w:val="00A540E5"/>
    <w:rsid w:val="00A5477A"/>
    <w:rsid w:val="00A54855"/>
    <w:rsid w:val="00A54880"/>
    <w:rsid w:val="00A548EB"/>
    <w:rsid w:val="00A54B12"/>
    <w:rsid w:val="00A54C17"/>
    <w:rsid w:val="00A54D5A"/>
    <w:rsid w:val="00A5596E"/>
    <w:rsid w:val="00A56094"/>
    <w:rsid w:val="00A56646"/>
    <w:rsid w:val="00A567AE"/>
    <w:rsid w:val="00A56CE5"/>
    <w:rsid w:val="00A57057"/>
    <w:rsid w:val="00A600B0"/>
    <w:rsid w:val="00A6125F"/>
    <w:rsid w:val="00A62272"/>
    <w:rsid w:val="00A62ABF"/>
    <w:rsid w:val="00A62B37"/>
    <w:rsid w:val="00A62D65"/>
    <w:rsid w:val="00A63212"/>
    <w:rsid w:val="00A635CA"/>
    <w:rsid w:val="00A635D2"/>
    <w:rsid w:val="00A6389E"/>
    <w:rsid w:val="00A63AB7"/>
    <w:rsid w:val="00A64057"/>
    <w:rsid w:val="00A64183"/>
    <w:rsid w:val="00A64453"/>
    <w:rsid w:val="00A644FA"/>
    <w:rsid w:val="00A6465F"/>
    <w:rsid w:val="00A64907"/>
    <w:rsid w:val="00A64AFF"/>
    <w:rsid w:val="00A653F0"/>
    <w:rsid w:val="00A65DEE"/>
    <w:rsid w:val="00A65EF0"/>
    <w:rsid w:val="00A662AE"/>
    <w:rsid w:val="00A66F76"/>
    <w:rsid w:val="00A677E3"/>
    <w:rsid w:val="00A705F9"/>
    <w:rsid w:val="00A70AFA"/>
    <w:rsid w:val="00A7129A"/>
    <w:rsid w:val="00A71731"/>
    <w:rsid w:val="00A71C7E"/>
    <w:rsid w:val="00A71F6D"/>
    <w:rsid w:val="00A72177"/>
    <w:rsid w:val="00A727F3"/>
    <w:rsid w:val="00A72DDA"/>
    <w:rsid w:val="00A733B2"/>
    <w:rsid w:val="00A735A5"/>
    <w:rsid w:val="00A73699"/>
    <w:rsid w:val="00A736E2"/>
    <w:rsid w:val="00A737D1"/>
    <w:rsid w:val="00A73F6A"/>
    <w:rsid w:val="00A73FD7"/>
    <w:rsid w:val="00A741D4"/>
    <w:rsid w:val="00A74DC7"/>
    <w:rsid w:val="00A7607D"/>
    <w:rsid w:val="00A76406"/>
    <w:rsid w:val="00A766CD"/>
    <w:rsid w:val="00A772DB"/>
    <w:rsid w:val="00A80432"/>
    <w:rsid w:val="00A807F9"/>
    <w:rsid w:val="00A80862"/>
    <w:rsid w:val="00A813B9"/>
    <w:rsid w:val="00A81B10"/>
    <w:rsid w:val="00A81B57"/>
    <w:rsid w:val="00A82361"/>
    <w:rsid w:val="00A823BD"/>
    <w:rsid w:val="00A827D7"/>
    <w:rsid w:val="00A8295F"/>
    <w:rsid w:val="00A82B40"/>
    <w:rsid w:val="00A83140"/>
    <w:rsid w:val="00A832CD"/>
    <w:rsid w:val="00A8340A"/>
    <w:rsid w:val="00A83BB8"/>
    <w:rsid w:val="00A83D82"/>
    <w:rsid w:val="00A84E6F"/>
    <w:rsid w:val="00A84E98"/>
    <w:rsid w:val="00A8506F"/>
    <w:rsid w:val="00A851E7"/>
    <w:rsid w:val="00A855EE"/>
    <w:rsid w:val="00A86552"/>
    <w:rsid w:val="00A86898"/>
    <w:rsid w:val="00A86CE8"/>
    <w:rsid w:val="00A86D2D"/>
    <w:rsid w:val="00A86F76"/>
    <w:rsid w:val="00A8772B"/>
    <w:rsid w:val="00A877A6"/>
    <w:rsid w:val="00A87FEC"/>
    <w:rsid w:val="00A9005C"/>
    <w:rsid w:val="00A908FD"/>
    <w:rsid w:val="00A9102B"/>
    <w:rsid w:val="00A91124"/>
    <w:rsid w:val="00A911E3"/>
    <w:rsid w:val="00A911EF"/>
    <w:rsid w:val="00A91650"/>
    <w:rsid w:val="00A91DA8"/>
    <w:rsid w:val="00A91FED"/>
    <w:rsid w:val="00A92313"/>
    <w:rsid w:val="00A927BD"/>
    <w:rsid w:val="00A933D3"/>
    <w:rsid w:val="00A9443B"/>
    <w:rsid w:val="00A95641"/>
    <w:rsid w:val="00A962B5"/>
    <w:rsid w:val="00A96984"/>
    <w:rsid w:val="00AA043F"/>
    <w:rsid w:val="00AA0947"/>
    <w:rsid w:val="00AA0D1A"/>
    <w:rsid w:val="00AA101F"/>
    <w:rsid w:val="00AA1061"/>
    <w:rsid w:val="00AA1A6D"/>
    <w:rsid w:val="00AA2468"/>
    <w:rsid w:val="00AA25A5"/>
    <w:rsid w:val="00AA2830"/>
    <w:rsid w:val="00AA2A7D"/>
    <w:rsid w:val="00AA32A9"/>
    <w:rsid w:val="00AA3658"/>
    <w:rsid w:val="00AA441E"/>
    <w:rsid w:val="00AA4B3C"/>
    <w:rsid w:val="00AA4BE1"/>
    <w:rsid w:val="00AA4E3B"/>
    <w:rsid w:val="00AA5742"/>
    <w:rsid w:val="00AA596A"/>
    <w:rsid w:val="00AA5C14"/>
    <w:rsid w:val="00AA5C76"/>
    <w:rsid w:val="00AA5C97"/>
    <w:rsid w:val="00AA66C8"/>
    <w:rsid w:val="00AA6B80"/>
    <w:rsid w:val="00AA796E"/>
    <w:rsid w:val="00AA7A5F"/>
    <w:rsid w:val="00AA7A7B"/>
    <w:rsid w:val="00AA7FCA"/>
    <w:rsid w:val="00AB0486"/>
    <w:rsid w:val="00AB06A5"/>
    <w:rsid w:val="00AB093B"/>
    <w:rsid w:val="00AB09CE"/>
    <w:rsid w:val="00AB0C42"/>
    <w:rsid w:val="00AB0FF5"/>
    <w:rsid w:val="00AB25DB"/>
    <w:rsid w:val="00AB2A06"/>
    <w:rsid w:val="00AB381A"/>
    <w:rsid w:val="00AB3AFC"/>
    <w:rsid w:val="00AB3D09"/>
    <w:rsid w:val="00AB4142"/>
    <w:rsid w:val="00AB46F2"/>
    <w:rsid w:val="00AB5A1B"/>
    <w:rsid w:val="00AB608A"/>
    <w:rsid w:val="00AB60A6"/>
    <w:rsid w:val="00AB6276"/>
    <w:rsid w:val="00AB652E"/>
    <w:rsid w:val="00AB6531"/>
    <w:rsid w:val="00AB6592"/>
    <w:rsid w:val="00AB747C"/>
    <w:rsid w:val="00AB765C"/>
    <w:rsid w:val="00AB7CD4"/>
    <w:rsid w:val="00AB7D77"/>
    <w:rsid w:val="00AC026A"/>
    <w:rsid w:val="00AC0835"/>
    <w:rsid w:val="00AC0CF6"/>
    <w:rsid w:val="00AC10B7"/>
    <w:rsid w:val="00AC1194"/>
    <w:rsid w:val="00AC11BF"/>
    <w:rsid w:val="00AC135A"/>
    <w:rsid w:val="00AC1C93"/>
    <w:rsid w:val="00AC1C9B"/>
    <w:rsid w:val="00AC23E1"/>
    <w:rsid w:val="00AC288D"/>
    <w:rsid w:val="00AC29B5"/>
    <w:rsid w:val="00AC2B9F"/>
    <w:rsid w:val="00AC35BC"/>
    <w:rsid w:val="00AC3B68"/>
    <w:rsid w:val="00AC3E75"/>
    <w:rsid w:val="00AC4009"/>
    <w:rsid w:val="00AC40CB"/>
    <w:rsid w:val="00AC418D"/>
    <w:rsid w:val="00AC496D"/>
    <w:rsid w:val="00AC4B88"/>
    <w:rsid w:val="00AC4BA2"/>
    <w:rsid w:val="00AC59D7"/>
    <w:rsid w:val="00AC5A0D"/>
    <w:rsid w:val="00AC6112"/>
    <w:rsid w:val="00AC6F51"/>
    <w:rsid w:val="00AC7014"/>
    <w:rsid w:val="00AC7047"/>
    <w:rsid w:val="00AC7496"/>
    <w:rsid w:val="00AC786E"/>
    <w:rsid w:val="00AC7E0A"/>
    <w:rsid w:val="00AD0415"/>
    <w:rsid w:val="00AD0C2B"/>
    <w:rsid w:val="00AD0CF5"/>
    <w:rsid w:val="00AD0F2D"/>
    <w:rsid w:val="00AD1DA8"/>
    <w:rsid w:val="00AD1E21"/>
    <w:rsid w:val="00AD2300"/>
    <w:rsid w:val="00AD2987"/>
    <w:rsid w:val="00AD2D1E"/>
    <w:rsid w:val="00AD3275"/>
    <w:rsid w:val="00AD39EA"/>
    <w:rsid w:val="00AD3AE7"/>
    <w:rsid w:val="00AD3B74"/>
    <w:rsid w:val="00AD3C77"/>
    <w:rsid w:val="00AD4722"/>
    <w:rsid w:val="00AD4DEA"/>
    <w:rsid w:val="00AD562D"/>
    <w:rsid w:val="00AD59F4"/>
    <w:rsid w:val="00AD5AF7"/>
    <w:rsid w:val="00AD622D"/>
    <w:rsid w:val="00AD6487"/>
    <w:rsid w:val="00AD69D1"/>
    <w:rsid w:val="00AD6A3B"/>
    <w:rsid w:val="00AD74FA"/>
    <w:rsid w:val="00AD7808"/>
    <w:rsid w:val="00AE0341"/>
    <w:rsid w:val="00AE0458"/>
    <w:rsid w:val="00AE050F"/>
    <w:rsid w:val="00AE1024"/>
    <w:rsid w:val="00AE14B9"/>
    <w:rsid w:val="00AE1AF5"/>
    <w:rsid w:val="00AE1B20"/>
    <w:rsid w:val="00AE202D"/>
    <w:rsid w:val="00AE2062"/>
    <w:rsid w:val="00AE2088"/>
    <w:rsid w:val="00AE28E2"/>
    <w:rsid w:val="00AE2A6A"/>
    <w:rsid w:val="00AE36E6"/>
    <w:rsid w:val="00AE388B"/>
    <w:rsid w:val="00AE3CEE"/>
    <w:rsid w:val="00AE40BD"/>
    <w:rsid w:val="00AE42BD"/>
    <w:rsid w:val="00AE4FCE"/>
    <w:rsid w:val="00AE5446"/>
    <w:rsid w:val="00AE5896"/>
    <w:rsid w:val="00AE5D87"/>
    <w:rsid w:val="00AE5FBE"/>
    <w:rsid w:val="00AE6AB0"/>
    <w:rsid w:val="00AE6CCD"/>
    <w:rsid w:val="00AE7113"/>
    <w:rsid w:val="00AE7803"/>
    <w:rsid w:val="00AE790C"/>
    <w:rsid w:val="00AE7F93"/>
    <w:rsid w:val="00AF0624"/>
    <w:rsid w:val="00AF07C2"/>
    <w:rsid w:val="00AF0857"/>
    <w:rsid w:val="00AF088B"/>
    <w:rsid w:val="00AF0CC8"/>
    <w:rsid w:val="00AF0E03"/>
    <w:rsid w:val="00AF0F9A"/>
    <w:rsid w:val="00AF116A"/>
    <w:rsid w:val="00AF13D8"/>
    <w:rsid w:val="00AF16AC"/>
    <w:rsid w:val="00AF1958"/>
    <w:rsid w:val="00AF2490"/>
    <w:rsid w:val="00AF2A6B"/>
    <w:rsid w:val="00AF2E0B"/>
    <w:rsid w:val="00AF3011"/>
    <w:rsid w:val="00AF40F4"/>
    <w:rsid w:val="00AF4185"/>
    <w:rsid w:val="00AF42CC"/>
    <w:rsid w:val="00AF42D4"/>
    <w:rsid w:val="00AF7006"/>
    <w:rsid w:val="00AF7132"/>
    <w:rsid w:val="00AF721D"/>
    <w:rsid w:val="00B001A8"/>
    <w:rsid w:val="00B0080F"/>
    <w:rsid w:val="00B00C84"/>
    <w:rsid w:val="00B0119E"/>
    <w:rsid w:val="00B012C8"/>
    <w:rsid w:val="00B01473"/>
    <w:rsid w:val="00B01A3C"/>
    <w:rsid w:val="00B01D9C"/>
    <w:rsid w:val="00B02D45"/>
    <w:rsid w:val="00B033BA"/>
    <w:rsid w:val="00B03733"/>
    <w:rsid w:val="00B03953"/>
    <w:rsid w:val="00B03D1D"/>
    <w:rsid w:val="00B0467F"/>
    <w:rsid w:val="00B050C5"/>
    <w:rsid w:val="00B05636"/>
    <w:rsid w:val="00B05BBF"/>
    <w:rsid w:val="00B05CDC"/>
    <w:rsid w:val="00B05F0D"/>
    <w:rsid w:val="00B05F3A"/>
    <w:rsid w:val="00B061A0"/>
    <w:rsid w:val="00B06450"/>
    <w:rsid w:val="00B06EEB"/>
    <w:rsid w:val="00B07559"/>
    <w:rsid w:val="00B1029D"/>
    <w:rsid w:val="00B107F5"/>
    <w:rsid w:val="00B108D1"/>
    <w:rsid w:val="00B10937"/>
    <w:rsid w:val="00B10D43"/>
    <w:rsid w:val="00B10F0C"/>
    <w:rsid w:val="00B1101A"/>
    <w:rsid w:val="00B113A6"/>
    <w:rsid w:val="00B11A59"/>
    <w:rsid w:val="00B11EFB"/>
    <w:rsid w:val="00B12112"/>
    <w:rsid w:val="00B127FF"/>
    <w:rsid w:val="00B128CA"/>
    <w:rsid w:val="00B12A60"/>
    <w:rsid w:val="00B12B57"/>
    <w:rsid w:val="00B12F50"/>
    <w:rsid w:val="00B131DB"/>
    <w:rsid w:val="00B13406"/>
    <w:rsid w:val="00B1406A"/>
    <w:rsid w:val="00B149D5"/>
    <w:rsid w:val="00B150BD"/>
    <w:rsid w:val="00B15305"/>
    <w:rsid w:val="00B154F7"/>
    <w:rsid w:val="00B1558B"/>
    <w:rsid w:val="00B15972"/>
    <w:rsid w:val="00B15B35"/>
    <w:rsid w:val="00B15F20"/>
    <w:rsid w:val="00B16D44"/>
    <w:rsid w:val="00B178C0"/>
    <w:rsid w:val="00B179E1"/>
    <w:rsid w:val="00B17B3F"/>
    <w:rsid w:val="00B17C15"/>
    <w:rsid w:val="00B20131"/>
    <w:rsid w:val="00B20519"/>
    <w:rsid w:val="00B2080E"/>
    <w:rsid w:val="00B20A41"/>
    <w:rsid w:val="00B2142B"/>
    <w:rsid w:val="00B21C69"/>
    <w:rsid w:val="00B21DF4"/>
    <w:rsid w:val="00B21F49"/>
    <w:rsid w:val="00B22117"/>
    <w:rsid w:val="00B221FB"/>
    <w:rsid w:val="00B23417"/>
    <w:rsid w:val="00B238D1"/>
    <w:rsid w:val="00B23A1D"/>
    <w:rsid w:val="00B2550B"/>
    <w:rsid w:val="00B2569E"/>
    <w:rsid w:val="00B25CEA"/>
    <w:rsid w:val="00B26069"/>
    <w:rsid w:val="00B2640F"/>
    <w:rsid w:val="00B26C2F"/>
    <w:rsid w:val="00B26F4C"/>
    <w:rsid w:val="00B27019"/>
    <w:rsid w:val="00B27316"/>
    <w:rsid w:val="00B27883"/>
    <w:rsid w:val="00B27BB2"/>
    <w:rsid w:val="00B27C15"/>
    <w:rsid w:val="00B27E8E"/>
    <w:rsid w:val="00B30785"/>
    <w:rsid w:val="00B31411"/>
    <w:rsid w:val="00B31769"/>
    <w:rsid w:val="00B317BC"/>
    <w:rsid w:val="00B31CCE"/>
    <w:rsid w:val="00B31E1F"/>
    <w:rsid w:val="00B31E4F"/>
    <w:rsid w:val="00B32050"/>
    <w:rsid w:val="00B32070"/>
    <w:rsid w:val="00B320F5"/>
    <w:rsid w:val="00B3243C"/>
    <w:rsid w:val="00B32DEE"/>
    <w:rsid w:val="00B32EBD"/>
    <w:rsid w:val="00B33AF0"/>
    <w:rsid w:val="00B33C5C"/>
    <w:rsid w:val="00B34493"/>
    <w:rsid w:val="00B34877"/>
    <w:rsid w:val="00B354F2"/>
    <w:rsid w:val="00B360F6"/>
    <w:rsid w:val="00B36A7E"/>
    <w:rsid w:val="00B37873"/>
    <w:rsid w:val="00B378C7"/>
    <w:rsid w:val="00B37CAF"/>
    <w:rsid w:val="00B37CBF"/>
    <w:rsid w:val="00B4008E"/>
    <w:rsid w:val="00B404D1"/>
    <w:rsid w:val="00B40E5C"/>
    <w:rsid w:val="00B4114C"/>
    <w:rsid w:val="00B4115B"/>
    <w:rsid w:val="00B413F3"/>
    <w:rsid w:val="00B42167"/>
    <w:rsid w:val="00B42728"/>
    <w:rsid w:val="00B4281B"/>
    <w:rsid w:val="00B429C9"/>
    <w:rsid w:val="00B4339E"/>
    <w:rsid w:val="00B4366A"/>
    <w:rsid w:val="00B43F23"/>
    <w:rsid w:val="00B444C0"/>
    <w:rsid w:val="00B445B1"/>
    <w:rsid w:val="00B44870"/>
    <w:rsid w:val="00B44E6D"/>
    <w:rsid w:val="00B45036"/>
    <w:rsid w:val="00B456DE"/>
    <w:rsid w:val="00B457C2"/>
    <w:rsid w:val="00B45ABF"/>
    <w:rsid w:val="00B46E8F"/>
    <w:rsid w:val="00B47076"/>
    <w:rsid w:val="00B47088"/>
    <w:rsid w:val="00B47660"/>
    <w:rsid w:val="00B4796A"/>
    <w:rsid w:val="00B47DD1"/>
    <w:rsid w:val="00B47E12"/>
    <w:rsid w:val="00B50164"/>
    <w:rsid w:val="00B50437"/>
    <w:rsid w:val="00B50921"/>
    <w:rsid w:val="00B5103A"/>
    <w:rsid w:val="00B512E0"/>
    <w:rsid w:val="00B51695"/>
    <w:rsid w:val="00B52125"/>
    <w:rsid w:val="00B52B57"/>
    <w:rsid w:val="00B52EB9"/>
    <w:rsid w:val="00B530DC"/>
    <w:rsid w:val="00B53160"/>
    <w:rsid w:val="00B533D0"/>
    <w:rsid w:val="00B53804"/>
    <w:rsid w:val="00B53AD1"/>
    <w:rsid w:val="00B53D7F"/>
    <w:rsid w:val="00B54925"/>
    <w:rsid w:val="00B54D29"/>
    <w:rsid w:val="00B54EF4"/>
    <w:rsid w:val="00B54FDC"/>
    <w:rsid w:val="00B55493"/>
    <w:rsid w:val="00B55619"/>
    <w:rsid w:val="00B5621A"/>
    <w:rsid w:val="00B568B8"/>
    <w:rsid w:val="00B56C84"/>
    <w:rsid w:val="00B570F6"/>
    <w:rsid w:val="00B57AF3"/>
    <w:rsid w:val="00B57F6E"/>
    <w:rsid w:val="00B60179"/>
    <w:rsid w:val="00B601EB"/>
    <w:rsid w:val="00B601F7"/>
    <w:rsid w:val="00B60938"/>
    <w:rsid w:val="00B60A01"/>
    <w:rsid w:val="00B60F2E"/>
    <w:rsid w:val="00B61993"/>
    <w:rsid w:val="00B61D2E"/>
    <w:rsid w:val="00B61F52"/>
    <w:rsid w:val="00B621FC"/>
    <w:rsid w:val="00B62B47"/>
    <w:rsid w:val="00B630A7"/>
    <w:rsid w:val="00B65051"/>
    <w:rsid w:val="00B6543D"/>
    <w:rsid w:val="00B65881"/>
    <w:rsid w:val="00B66439"/>
    <w:rsid w:val="00B67053"/>
    <w:rsid w:val="00B679BF"/>
    <w:rsid w:val="00B67BC5"/>
    <w:rsid w:val="00B70E29"/>
    <w:rsid w:val="00B7156A"/>
    <w:rsid w:val="00B71A82"/>
    <w:rsid w:val="00B71D21"/>
    <w:rsid w:val="00B71D24"/>
    <w:rsid w:val="00B71F9E"/>
    <w:rsid w:val="00B72642"/>
    <w:rsid w:val="00B726D6"/>
    <w:rsid w:val="00B731AF"/>
    <w:rsid w:val="00B732D1"/>
    <w:rsid w:val="00B73D0E"/>
    <w:rsid w:val="00B73DC1"/>
    <w:rsid w:val="00B73FF6"/>
    <w:rsid w:val="00B7499D"/>
    <w:rsid w:val="00B74F94"/>
    <w:rsid w:val="00B75ABF"/>
    <w:rsid w:val="00B76325"/>
    <w:rsid w:val="00B765B5"/>
    <w:rsid w:val="00B76C2D"/>
    <w:rsid w:val="00B778AE"/>
    <w:rsid w:val="00B80001"/>
    <w:rsid w:val="00B80FDB"/>
    <w:rsid w:val="00B81045"/>
    <w:rsid w:val="00B8111E"/>
    <w:rsid w:val="00B81D56"/>
    <w:rsid w:val="00B81D5E"/>
    <w:rsid w:val="00B81FC2"/>
    <w:rsid w:val="00B823EB"/>
    <w:rsid w:val="00B82C0B"/>
    <w:rsid w:val="00B83A16"/>
    <w:rsid w:val="00B83EC7"/>
    <w:rsid w:val="00B840A1"/>
    <w:rsid w:val="00B8419E"/>
    <w:rsid w:val="00B8518A"/>
    <w:rsid w:val="00B859BB"/>
    <w:rsid w:val="00B85A2B"/>
    <w:rsid w:val="00B85ACE"/>
    <w:rsid w:val="00B8607A"/>
    <w:rsid w:val="00B86CE9"/>
    <w:rsid w:val="00B872C4"/>
    <w:rsid w:val="00B87488"/>
    <w:rsid w:val="00B87735"/>
    <w:rsid w:val="00B9005A"/>
    <w:rsid w:val="00B9015C"/>
    <w:rsid w:val="00B90274"/>
    <w:rsid w:val="00B905EA"/>
    <w:rsid w:val="00B90726"/>
    <w:rsid w:val="00B90930"/>
    <w:rsid w:val="00B90CE4"/>
    <w:rsid w:val="00B90DDE"/>
    <w:rsid w:val="00B91837"/>
    <w:rsid w:val="00B918E5"/>
    <w:rsid w:val="00B9198E"/>
    <w:rsid w:val="00B91B51"/>
    <w:rsid w:val="00B9362F"/>
    <w:rsid w:val="00B938A8"/>
    <w:rsid w:val="00B93F7E"/>
    <w:rsid w:val="00B9405C"/>
    <w:rsid w:val="00B9412A"/>
    <w:rsid w:val="00B9437A"/>
    <w:rsid w:val="00B94905"/>
    <w:rsid w:val="00B94F0D"/>
    <w:rsid w:val="00B95620"/>
    <w:rsid w:val="00B956DC"/>
    <w:rsid w:val="00B95A80"/>
    <w:rsid w:val="00B95FF9"/>
    <w:rsid w:val="00B96847"/>
    <w:rsid w:val="00B972F6"/>
    <w:rsid w:val="00B979D0"/>
    <w:rsid w:val="00B97B3F"/>
    <w:rsid w:val="00B97C2F"/>
    <w:rsid w:val="00B97E83"/>
    <w:rsid w:val="00BA078F"/>
    <w:rsid w:val="00BA081A"/>
    <w:rsid w:val="00BA0AE6"/>
    <w:rsid w:val="00BA0B3A"/>
    <w:rsid w:val="00BA118D"/>
    <w:rsid w:val="00BA13A2"/>
    <w:rsid w:val="00BA173C"/>
    <w:rsid w:val="00BA1751"/>
    <w:rsid w:val="00BA18C6"/>
    <w:rsid w:val="00BA19A5"/>
    <w:rsid w:val="00BA1B45"/>
    <w:rsid w:val="00BA1BF6"/>
    <w:rsid w:val="00BA1F41"/>
    <w:rsid w:val="00BA20D7"/>
    <w:rsid w:val="00BA2595"/>
    <w:rsid w:val="00BA29F6"/>
    <w:rsid w:val="00BA2ADA"/>
    <w:rsid w:val="00BA2BE7"/>
    <w:rsid w:val="00BA2E12"/>
    <w:rsid w:val="00BA3B92"/>
    <w:rsid w:val="00BA4058"/>
    <w:rsid w:val="00BA4381"/>
    <w:rsid w:val="00BA4462"/>
    <w:rsid w:val="00BA44AF"/>
    <w:rsid w:val="00BA5376"/>
    <w:rsid w:val="00BA54A2"/>
    <w:rsid w:val="00BA573D"/>
    <w:rsid w:val="00BA6B5D"/>
    <w:rsid w:val="00BA6C9C"/>
    <w:rsid w:val="00BA6D23"/>
    <w:rsid w:val="00BA7248"/>
    <w:rsid w:val="00BA7BBF"/>
    <w:rsid w:val="00BA7CE4"/>
    <w:rsid w:val="00BA7D65"/>
    <w:rsid w:val="00BB064A"/>
    <w:rsid w:val="00BB07DC"/>
    <w:rsid w:val="00BB09CE"/>
    <w:rsid w:val="00BB0C62"/>
    <w:rsid w:val="00BB117F"/>
    <w:rsid w:val="00BB2243"/>
    <w:rsid w:val="00BB2538"/>
    <w:rsid w:val="00BB2539"/>
    <w:rsid w:val="00BB28FB"/>
    <w:rsid w:val="00BB2A84"/>
    <w:rsid w:val="00BB3316"/>
    <w:rsid w:val="00BB3B72"/>
    <w:rsid w:val="00BB3C87"/>
    <w:rsid w:val="00BB3D9B"/>
    <w:rsid w:val="00BB4433"/>
    <w:rsid w:val="00BB459C"/>
    <w:rsid w:val="00BB494D"/>
    <w:rsid w:val="00BB4A6B"/>
    <w:rsid w:val="00BB50C0"/>
    <w:rsid w:val="00BB51D6"/>
    <w:rsid w:val="00BB5850"/>
    <w:rsid w:val="00BB58E5"/>
    <w:rsid w:val="00BB7EAC"/>
    <w:rsid w:val="00BC0BF0"/>
    <w:rsid w:val="00BC0FD2"/>
    <w:rsid w:val="00BC1A6B"/>
    <w:rsid w:val="00BC22E5"/>
    <w:rsid w:val="00BC2815"/>
    <w:rsid w:val="00BC29F3"/>
    <w:rsid w:val="00BC3E1C"/>
    <w:rsid w:val="00BC3FC1"/>
    <w:rsid w:val="00BC48AD"/>
    <w:rsid w:val="00BC4984"/>
    <w:rsid w:val="00BC4BBE"/>
    <w:rsid w:val="00BC529C"/>
    <w:rsid w:val="00BC58F8"/>
    <w:rsid w:val="00BC5A09"/>
    <w:rsid w:val="00BC5A45"/>
    <w:rsid w:val="00BC5C6A"/>
    <w:rsid w:val="00BC6191"/>
    <w:rsid w:val="00BC6274"/>
    <w:rsid w:val="00BC7117"/>
    <w:rsid w:val="00BC73C1"/>
    <w:rsid w:val="00BC7747"/>
    <w:rsid w:val="00BC7881"/>
    <w:rsid w:val="00BC7B3B"/>
    <w:rsid w:val="00BD0074"/>
    <w:rsid w:val="00BD07B0"/>
    <w:rsid w:val="00BD0921"/>
    <w:rsid w:val="00BD0B61"/>
    <w:rsid w:val="00BD0CB6"/>
    <w:rsid w:val="00BD19AC"/>
    <w:rsid w:val="00BD27E3"/>
    <w:rsid w:val="00BD2810"/>
    <w:rsid w:val="00BD2A8A"/>
    <w:rsid w:val="00BD389E"/>
    <w:rsid w:val="00BD4AAD"/>
    <w:rsid w:val="00BD5431"/>
    <w:rsid w:val="00BD59B0"/>
    <w:rsid w:val="00BD6093"/>
    <w:rsid w:val="00BD6991"/>
    <w:rsid w:val="00BD6A9D"/>
    <w:rsid w:val="00BD6E05"/>
    <w:rsid w:val="00BD71FA"/>
    <w:rsid w:val="00BD729F"/>
    <w:rsid w:val="00BD73EF"/>
    <w:rsid w:val="00BE00F7"/>
    <w:rsid w:val="00BE09D6"/>
    <w:rsid w:val="00BE0C80"/>
    <w:rsid w:val="00BE13E0"/>
    <w:rsid w:val="00BE216F"/>
    <w:rsid w:val="00BE2780"/>
    <w:rsid w:val="00BE2BA0"/>
    <w:rsid w:val="00BE3386"/>
    <w:rsid w:val="00BE35C1"/>
    <w:rsid w:val="00BE35ED"/>
    <w:rsid w:val="00BE408D"/>
    <w:rsid w:val="00BE49CB"/>
    <w:rsid w:val="00BE4A82"/>
    <w:rsid w:val="00BE4D91"/>
    <w:rsid w:val="00BE6AC8"/>
    <w:rsid w:val="00BE71EB"/>
    <w:rsid w:val="00BE7A02"/>
    <w:rsid w:val="00BF021E"/>
    <w:rsid w:val="00BF0772"/>
    <w:rsid w:val="00BF0A77"/>
    <w:rsid w:val="00BF14AC"/>
    <w:rsid w:val="00BF213C"/>
    <w:rsid w:val="00BF2C11"/>
    <w:rsid w:val="00BF2F07"/>
    <w:rsid w:val="00BF3609"/>
    <w:rsid w:val="00BF3BA3"/>
    <w:rsid w:val="00BF4033"/>
    <w:rsid w:val="00BF495F"/>
    <w:rsid w:val="00BF4DB6"/>
    <w:rsid w:val="00BF5206"/>
    <w:rsid w:val="00BF556E"/>
    <w:rsid w:val="00BF5C99"/>
    <w:rsid w:val="00BF6837"/>
    <w:rsid w:val="00BF6F0B"/>
    <w:rsid w:val="00BF70D0"/>
    <w:rsid w:val="00BF7DA2"/>
    <w:rsid w:val="00C000EC"/>
    <w:rsid w:val="00C00363"/>
    <w:rsid w:val="00C006A4"/>
    <w:rsid w:val="00C00A04"/>
    <w:rsid w:val="00C010C7"/>
    <w:rsid w:val="00C01707"/>
    <w:rsid w:val="00C018DC"/>
    <w:rsid w:val="00C01B49"/>
    <w:rsid w:val="00C02052"/>
    <w:rsid w:val="00C02066"/>
    <w:rsid w:val="00C0208C"/>
    <w:rsid w:val="00C02400"/>
    <w:rsid w:val="00C024E3"/>
    <w:rsid w:val="00C025DD"/>
    <w:rsid w:val="00C02747"/>
    <w:rsid w:val="00C02BD3"/>
    <w:rsid w:val="00C02D4A"/>
    <w:rsid w:val="00C0371D"/>
    <w:rsid w:val="00C038D3"/>
    <w:rsid w:val="00C0417B"/>
    <w:rsid w:val="00C04496"/>
    <w:rsid w:val="00C049EA"/>
    <w:rsid w:val="00C04AE4"/>
    <w:rsid w:val="00C05002"/>
    <w:rsid w:val="00C052B6"/>
    <w:rsid w:val="00C06356"/>
    <w:rsid w:val="00C07225"/>
    <w:rsid w:val="00C0751E"/>
    <w:rsid w:val="00C07DAA"/>
    <w:rsid w:val="00C100F5"/>
    <w:rsid w:val="00C10669"/>
    <w:rsid w:val="00C10F13"/>
    <w:rsid w:val="00C12421"/>
    <w:rsid w:val="00C1248B"/>
    <w:rsid w:val="00C125E2"/>
    <w:rsid w:val="00C136EC"/>
    <w:rsid w:val="00C13BC4"/>
    <w:rsid w:val="00C13E5C"/>
    <w:rsid w:val="00C1428B"/>
    <w:rsid w:val="00C14473"/>
    <w:rsid w:val="00C1479A"/>
    <w:rsid w:val="00C149E4"/>
    <w:rsid w:val="00C1569C"/>
    <w:rsid w:val="00C156AB"/>
    <w:rsid w:val="00C15AED"/>
    <w:rsid w:val="00C15E35"/>
    <w:rsid w:val="00C167AF"/>
    <w:rsid w:val="00C168B6"/>
    <w:rsid w:val="00C16F88"/>
    <w:rsid w:val="00C172E8"/>
    <w:rsid w:val="00C174EB"/>
    <w:rsid w:val="00C17633"/>
    <w:rsid w:val="00C177AE"/>
    <w:rsid w:val="00C177FF"/>
    <w:rsid w:val="00C17A14"/>
    <w:rsid w:val="00C17E5C"/>
    <w:rsid w:val="00C2024C"/>
    <w:rsid w:val="00C208C8"/>
    <w:rsid w:val="00C20CC3"/>
    <w:rsid w:val="00C20D00"/>
    <w:rsid w:val="00C20EB1"/>
    <w:rsid w:val="00C21758"/>
    <w:rsid w:val="00C2184E"/>
    <w:rsid w:val="00C22D56"/>
    <w:rsid w:val="00C2302E"/>
    <w:rsid w:val="00C2359F"/>
    <w:rsid w:val="00C23948"/>
    <w:rsid w:val="00C23C1F"/>
    <w:rsid w:val="00C23E78"/>
    <w:rsid w:val="00C2563F"/>
    <w:rsid w:val="00C257F6"/>
    <w:rsid w:val="00C26248"/>
    <w:rsid w:val="00C26957"/>
    <w:rsid w:val="00C26EB2"/>
    <w:rsid w:val="00C26F11"/>
    <w:rsid w:val="00C2701B"/>
    <w:rsid w:val="00C27075"/>
    <w:rsid w:val="00C30205"/>
    <w:rsid w:val="00C30400"/>
    <w:rsid w:val="00C30742"/>
    <w:rsid w:val="00C312C0"/>
    <w:rsid w:val="00C31557"/>
    <w:rsid w:val="00C32D64"/>
    <w:rsid w:val="00C32DC9"/>
    <w:rsid w:val="00C33215"/>
    <w:rsid w:val="00C339BA"/>
    <w:rsid w:val="00C33B40"/>
    <w:rsid w:val="00C33FDA"/>
    <w:rsid w:val="00C35849"/>
    <w:rsid w:val="00C35FF6"/>
    <w:rsid w:val="00C360C7"/>
    <w:rsid w:val="00C3616C"/>
    <w:rsid w:val="00C36584"/>
    <w:rsid w:val="00C36B03"/>
    <w:rsid w:val="00C370D2"/>
    <w:rsid w:val="00C37321"/>
    <w:rsid w:val="00C400DA"/>
    <w:rsid w:val="00C405D3"/>
    <w:rsid w:val="00C408DA"/>
    <w:rsid w:val="00C4095E"/>
    <w:rsid w:val="00C40A3A"/>
    <w:rsid w:val="00C40E7B"/>
    <w:rsid w:val="00C412F3"/>
    <w:rsid w:val="00C415A5"/>
    <w:rsid w:val="00C416F7"/>
    <w:rsid w:val="00C41EE5"/>
    <w:rsid w:val="00C422E9"/>
    <w:rsid w:val="00C42EA3"/>
    <w:rsid w:val="00C432DE"/>
    <w:rsid w:val="00C43DBA"/>
    <w:rsid w:val="00C43E3E"/>
    <w:rsid w:val="00C444A4"/>
    <w:rsid w:val="00C44CA8"/>
    <w:rsid w:val="00C44E61"/>
    <w:rsid w:val="00C44EC8"/>
    <w:rsid w:val="00C45208"/>
    <w:rsid w:val="00C456FD"/>
    <w:rsid w:val="00C45B9A"/>
    <w:rsid w:val="00C45CF5"/>
    <w:rsid w:val="00C4662A"/>
    <w:rsid w:val="00C46F6D"/>
    <w:rsid w:val="00C471F3"/>
    <w:rsid w:val="00C4746D"/>
    <w:rsid w:val="00C47481"/>
    <w:rsid w:val="00C47DC7"/>
    <w:rsid w:val="00C508AE"/>
    <w:rsid w:val="00C50A59"/>
    <w:rsid w:val="00C50C54"/>
    <w:rsid w:val="00C5196F"/>
    <w:rsid w:val="00C52F5E"/>
    <w:rsid w:val="00C5382E"/>
    <w:rsid w:val="00C53CAB"/>
    <w:rsid w:val="00C53CB3"/>
    <w:rsid w:val="00C53D78"/>
    <w:rsid w:val="00C5460F"/>
    <w:rsid w:val="00C546D7"/>
    <w:rsid w:val="00C54D59"/>
    <w:rsid w:val="00C54DCF"/>
    <w:rsid w:val="00C55354"/>
    <w:rsid w:val="00C557D5"/>
    <w:rsid w:val="00C55997"/>
    <w:rsid w:val="00C5608F"/>
    <w:rsid w:val="00C56864"/>
    <w:rsid w:val="00C56A5F"/>
    <w:rsid w:val="00C56CE8"/>
    <w:rsid w:val="00C5740D"/>
    <w:rsid w:val="00C57513"/>
    <w:rsid w:val="00C57D38"/>
    <w:rsid w:val="00C57D74"/>
    <w:rsid w:val="00C60693"/>
    <w:rsid w:val="00C60A46"/>
    <w:rsid w:val="00C60D56"/>
    <w:rsid w:val="00C617AA"/>
    <w:rsid w:val="00C61D40"/>
    <w:rsid w:val="00C623B6"/>
    <w:rsid w:val="00C62715"/>
    <w:rsid w:val="00C62B2F"/>
    <w:rsid w:val="00C62EF3"/>
    <w:rsid w:val="00C6300E"/>
    <w:rsid w:val="00C63373"/>
    <w:rsid w:val="00C637AB"/>
    <w:rsid w:val="00C63A28"/>
    <w:rsid w:val="00C63A95"/>
    <w:rsid w:val="00C64DAE"/>
    <w:rsid w:val="00C64E09"/>
    <w:rsid w:val="00C650C7"/>
    <w:rsid w:val="00C65673"/>
    <w:rsid w:val="00C6571A"/>
    <w:rsid w:val="00C660FE"/>
    <w:rsid w:val="00C6682E"/>
    <w:rsid w:val="00C66840"/>
    <w:rsid w:val="00C66D79"/>
    <w:rsid w:val="00C67252"/>
    <w:rsid w:val="00C67275"/>
    <w:rsid w:val="00C678B1"/>
    <w:rsid w:val="00C67BBB"/>
    <w:rsid w:val="00C67BF5"/>
    <w:rsid w:val="00C67C40"/>
    <w:rsid w:val="00C67C96"/>
    <w:rsid w:val="00C70315"/>
    <w:rsid w:val="00C70366"/>
    <w:rsid w:val="00C70550"/>
    <w:rsid w:val="00C70B2A"/>
    <w:rsid w:val="00C711D4"/>
    <w:rsid w:val="00C713DD"/>
    <w:rsid w:val="00C714B4"/>
    <w:rsid w:val="00C71BCA"/>
    <w:rsid w:val="00C71BFB"/>
    <w:rsid w:val="00C71EBC"/>
    <w:rsid w:val="00C720F4"/>
    <w:rsid w:val="00C73299"/>
    <w:rsid w:val="00C733DF"/>
    <w:rsid w:val="00C7392A"/>
    <w:rsid w:val="00C7443E"/>
    <w:rsid w:val="00C74D25"/>
    <w:rsid w:val="00C74F95"/>
    <w:rsid w:val="00C75267"/>
    <w:rsid w:val="00C753FC"/>
    <w:rsid w:val="00C75959"/>
    <w:rsid w:val="00C75BE4"/>
    <w:rsid w:val="00C75C61"/>
    <w:rsid w:val="00C75C6C"/>
    <w:rsid w:val="00C75D7F"/>
    <w:rsid w:val="00C7608F"/>
    <w:rsid w:val="00C76C45"/>
    <w:rsid w:val="00C76E11"/>
    <w:rsid w:val="00C775B7"/>
    <w:rsid w:val="00C7764A"/>
    <w:rsid w:val="00C77F56"/>
    <w:rsid w:val="00C80875"/>
    <w:rsid w:val="00C80CE7"/>
    <w:rsid w:val="00C80D7D"/>
    <w:rsid w:val="00C80F47"/>
    <w:rsid w:val="00C80F72"/>
    <w:rsid w:val="00C8120F"/>
    <w:rsid w:val="00C8128C"/>
    <w:rsid w:val="00C812C6"/>
    <w:rsid w:val="00C8138C"/>
    <w:rsid w:val="00C823CE"/>
    <w:rsid w:val="00C824C2"/>
    <w:rsid w:val="00C82870"/>
    <w:rsid w:val="00C82B60"/>
    <w:rsid w:val="00C82D2F"/>
    <w:rsid w:val="00C83167"/>
    <w:rsid w:val="00C83AA6"/>
    <w:rsid w:val="00C843F9"/>
    <w:rsid w:val="00C84992"/>
    <w:rsid w:val="00C84ACF"/>
    <w:rsid w:val="00C84F7D"/>
    <w:rsid w:val="00C85576"/>
    <w:rsid w:val="00C855C7"/>
    <w:rsid w:val="00C86018"/>
    <w:rsid w:val="00C86AEC"/>
    <w:rsid w:val="00C87B7A"/>
    <w:rsid w:val="00C9059A"/>
    <w:rsid w:val="00C905C9"/>
    <w:rsid w:val="00C91329"/>
    <w:rsid w:val="00C91581"/>
    <w:rsid w:val="00C915C8"/>
    <w:rsid w:val="00C91846"/>
    <w:rsid w:val="00C92230"/>
    <w:rsid w:val="00C92732"/>
    <w:rsid w:val="00C927C1"/>
    <w:rsid w:val="00C92B6B"/>
    <w:rsid w:val="00C92DD4"/>
    <w:rsid w:val="00C9323F"/>
    <w:rsid w:val="00C93514"/>
    <w:rsid w:val="00C93C45"/>
    <w:rsid w:val="00C9456A"/>
    <w:rsid w:val="00C94F02"/>
    <w:rsid w:val="00C95071"/>
    <w:rsid w:val="00C95370"/>
    <w:rsid w:val="00C9561E"/>
    <w:rsid w:val="00C95960"/>
    <w:rsid w:val="00C959CD"/>
    <w:rsid w:val="00C960EC"/>
    <w:rsid w:val="00C96174"/>
    <w:rsid w:val="00C964FD"/>
    <w:rsid w:val="00C97707"/>
    <w:rsid w:val="00C9795F"/>
    <w:rsid w:val="00CA00F6"/>
    <w:rsid w:val="00CA01F9"/>
    <w:rsid w:val="00CA029F"/>
    <w:rsid w:val="00CA03EC"/>
    <w:rsid w:val="00CA0540"/>
    <w:rsid w:val="00CA0795"/>
    <w:rsid w:val="00CA0906"/>
    <w:rsid w:val="00CA0FFF"/>
    <w:rsid w:val="00CA1BEB"/>
    <w:rsid w:val="00CA207F"/>
    <w:rsid w:val="00CA23D5"/>
    <w:rsid w:val="00CA2626"/>
    <w:rsid w:val="00CA2A1A"/>
    <w:rsid w:val="00CA2D98"/>
    <w:rsid w:val="00CA2ED0"/>
    <w:rsid w:val="00CA3A2B"/>
    <w:rsid w:val="00CA3D85"/>
    <w:rsid w:val="00CA468D"/>
    <w:rsid w:val="00CA4B0B"/>
    <w:rsid w:val="00CA4BFC"/>
    <w:rsid w:val="00CA4C0C"/>
    <w:rsid w:val="00CA4F1B"/>
    <w:rsid w:val="00CA539A"/>
    <w:rsid w:val="00CA5936"/>
    <w:rsid w:val="00CA5B0C"/>
    <w:rsid w:val="00CA60A6"/>
    <w:rsid w:val="00CA60FC"/>
    <w:rsid w:val="00CA6F4B"/>
    <w:rsid w:val="00CA7092"/>
    <w:rsid w:val="00CA73E9"/>
    <w:rsid w:val="00CA7CAC"/>
    <w:rsid w:val="00CA7E7F"/>
    <w:rsid w:val="00CB0B5C"/>
    <w:rsid w:val="00CB0CFA"/>
    <w:rsid w:val="00CB1DAF"/>
    <w:rsid w:val="00CB20BE"/>
    <w:rsid w:val="00CB2718"/>
    <w:rsid w:val="00CB2C86"/>
    <w:rsid w:val="00CB34E7"/>
    <w:rsid w:val="00CB3B18"/>
    <w:rsid w:val="00CB3B9D"/>
    <w:rsid w:val="00CB3D64"/>
    <w:rsid w:val="00CB3D72"/>
    <w:rsid w:val="00CB3F4B"/>
    <w:rsid w:val="00CB4030"/>
    <w:rsid w:val="00CB4517"/>
    <w:rsid w:val="00CB4C23"/>
    <w:rsid w:val="00CB5D86"/>
    <w:rsid w:val="00CB6E6D"/>
    <w:rsid w:val="00CB7048"/>
    <w:rsid w:val="00CB71D2"/>
    <w:rsid w:val="00CB7661"/>
    <w:rsid w:val="00CB7F8F"/>
    <w:rsid w:val="00CC013E"/>
    <w:rsid w:val="00CC0AF9"/>
    <w:rsid w:val="00CC146D"/>
    <w:rsid w:val="00CC17A9"/>
    <w:rsid w:val="00CC2427"/>
    <w:rsid w:val="00CC2858"/>
    <w:rsid w:val="00CC2C3E"/>
    <w:rsid w:val="00CC36F4"/>
    <w:rsid w:val="00CC400F"/>
    <w:rsid w:val="00CC4381"/>
    <w:rsid w:val="00CC487F"/>
    <w:rsid w:val="00CC4FDE"/>
    <w:rsid w:val="00CC54C0"/>
    <w:rsid w:val="00CC5552"/>
    <w:rsid w:val="00CC57CB"/>
    <w:rsid w:val="00CC5D86"/>
    <w:rsid w:val="00CC63AC"/>
    <w:rsid w:val="00CC651F"/>
    <w:rsid w:val="00CC6836"/>
    <w:rsid w:val="00CC79D0"/>
    <w:rsid w:val="00CC7A8A"/>
    <w:rsid w:val="00CD0543"/>
    <w:rsid w:val="00CD0D86"/>
    <w:rsid w:val="00CD10E0"/>
    <w:rsid w:val="00CD1254"/>
    <w:rsid w:val="00CD1283"/>
    <w:rsid w:val="00CD17B0"/>
    <w:rsid w:val="00CD18BF"/>
    <w:rsid w:val="00CD1A87"/>
    <w:rsid w:val="00CD24A6"/>
    <w:rsid w:val="00CD2E21"/>
    <w:rsid w:val="00CD3157"/>
    <w:rsid w:val="00CD32FC"/>
    <w:rsid w:val="00CD3657"/>
    <w:rsid w:val="00CD3793"/>
    <w:rsid w:val="00CD3B9E"/>
    <w:rsid w:val="00CD4191"/>
    <w:rsid w:val="00CD49AE"/>
    <w:rsid w:val="00CD4B5F"/>
    <w:rsid w:val="00CD4F26"/>
    <w:rsid w:val="00CD538C"/>
    <w:rsid w:val="00CD580A"/>
    <w:rsid w:val="00CD5DA8"/>
    <w:rsid w:val="00CD5E50"/>
    <w:rsid w:val="00CD623C"/>
    <w:rsid w:val="00CD648B"/>
    <w:rsid w:val="00CD6ADA"/>
    <w:rsid w:val="00CD6EDA"/>
    <w:rsid w:val="00CD71BC"/>
    <w:rsid w:val="00CD7CE4"/>
    <w:rsid w:val="00CD7DA1"/>
    <w:rsid w:val="00CE091F"/>
    <w:rsid w:val="00CE0A40"/>
    <w:rsid w:val="00CE0C07"/>
    <w:rsid w:val="00CE0EB0"/>
    <w:rsid w:val="00CE0F19"/>
    <w:rsid w:val="00CE11CC"/>
    <w:rsid w:val="00CE1D21"/>
    <w:rsid w:val="00CE1E08"/>
    <w:rsid w:val="00CE2424"/>
    <w:rsid w:val="00CE2BF0"/>
    <w:rsid w:val="00CE2CAD"/>
    <w:rsid w:val="00CE350D"/>
    <w:rsid w:val="00CE3BFF"/>
    <w:rsid w:val="00CE4ADB"/>
    <w:rsid w:val="00CE5EC2"/>
    <w:rsid w:val="00CE656A"/>
    <w:rsid w:val="00CE6A48"/>
    <w:rsid w:val="00CE6F0B"/>
    <w:rsid w:val="00CE7F15"/>
    <w:rsid w:val="00CF0510"/>
    <w:rsid w:val="00CF0D12"/>
    <w:rsid w:val="00CF0DA3"/>
    <w:rsid w:val="00CF10F6"/>
    <w:rsid w:val="00CF161F"/>
    <w:rsid w:val="00CF2573"/>
    <w:rsid w:val="00CF3A97"/>
    <w:rsid w:val="00CF3B53"/>
    <w:rsid w:val="00CF3C70"/>
    <w:rsid w:val="00CF3C8F"/>
    <w:rsid w:val="00CF3E1E"/>
    <w:rsid w:val="00CF3E39"/>
    <w:rsid w:val="00CF40DA"/>
    <w:rsid w:val="00CF470A"/>
    <w:rsid w:val="00CF5685"/>
    <w:rsid w:val="00CF5989"/>
    <w:rsid w:val="00CF5AFA"/>
    <w:rsid w:val="00CF6F72"/>
    <w:rsid w:val="00CF7601"/>
    <w:rsid w:val="00CF76B6"/>
    <w:rsid w:val="00CF7E92"/>
    <w:rsid w:val="00D0036B"/>
    <w:rsid w:val="00D004CE"/>
    <w:rsid w:val="00D00507"/>
    <w:rsid w:val="00D006E2"/>
    <w:rsid w:val="00D00808"/>
    <w:rsid w:val="00D008FE"/>
    <w:rsid w:val="00D01573"/>
    <w:rsid w:val="00D02296"/>
    <w:rsid w:val="00D023FC"/>
    <w:rsid w:val="00D02880"/>
    <w:rsid w:val="00D02933"/>
    <w:rsid w:val="00D02DA2"/>
    <w:rsid w:val="00D03001"/>
    <w:rsid w:val="00D03568"/>
    <w:rsid w:val="00D0393B"/>
    <w:rsid w:val="00D03B03"/>
    <w:rsid w:val="00D0454C"/>
    <w:rsid w:val="00D04C0C"/>
    <w:rsid w:val="00D04D1F"/>
    <w:rsid w:val="00D055D6"/>
    <w:rsid w:val="00D059E4"/>
    <w:rsid w:val="00D05DAC"/>
    <w:rsid w:val="00D05F8C"/>
    <w:rsid w:val="00D0603B"/>
    <w:rsid w:val="00D06B06"/>
    <w:rsid w:val="00D07280"/>
    <w:rsid w:val="00D0741D"/>
    <w:rsid w:val="00D10005"/>
    <w:rsid w:val="00D10273"/>
    <w:rsid w:val="00D103BB"/>
    <w:rsid w:val="00D10504"/>
    <w:rsid w:val="00D106B1"/>
    <w:rsid w:val="00D10A5F"/>
    <w:rsid w:val="00D10A98"/>
    <w:rsid w:val="00D10B7C"/>
    <w:rsid w:val="00D10C4D"/>
    <w:rsid w:val="00D11241"/>
    <w:rsid w:val="00D11425"/>
    <w:rsid w:val="00D115D5"/>
    <w:rsid w:val="00D11D35"/>
    <w:rsid w:val="00D127B4"/>
    <w:rsid w:val="00D133C0"/>
    <w:rsid w:val="00D14005"/>
    <w:rsid w:val="00D1548D"/>
    <w:rsid w:val="00D1565A"/>
    <w:rsid w:val="00D15E27"/>
    <w:rsid w:val="00D16092"/>
    <w:rsid w:val="00D16436"/>
    <w:rsid w:val="00D16A84"/>
    <w:rsid w:val="00D16B69"/>
    <w:rsid w:val="00D17104"/>
    <w:rsid w:val="00D174FF"/>
    <w:rsid w:val="00D17538"/>
    <w:rsid w:val="00D17601"/>
    <w:rsid w:val="00D177DB"/>
    <w:rsid w:val="00D17F05"/>
    <w:rsid w:val="00D20764"/>
    <w:rsid w:val="00D209DE"/>
    <w:rsid w:val="00D20A97"/>
    <w:rsid w:val="00D20DCF"/>
    <w:rsid w:val="00D20DDE"/>
    <w:rsid w:val="00D20E00"/>
    <w:rsid w:val="00D20EBC"/>
    <w:rsid w:val="00D21663"/>
    <w:rsid w:val="00D21946"/>
    <w:rsid w:val="00D21B82"/>
    <w:rsid w:val="00D224E3"/>
    <w:rsid w:val="00D2264C"/>
    <w:rsid w:val="00D226AB"/>
    <w:rsid w:val="00D22C6E"/>
    <w:rsid w:val="00D22D73"/>
    <w:rsid w:val="00D2338A"/>
    <w:rsid w:val="00D234E4"/>
    <w:rsid w:val="00D249EB"/>
    <w:rsid w:val="00D257DE"/>
    <w:rsid w:val="00D25F62"/>
    <w:rsid w:val="00D267F5"/>
    <w:rsid w:val="00D27138"/>
    <w:rsid w:val="00D2719C"/>
    <w:rsid w:val="00D2754B"/>
    <w:rsid w:val="00D27EE5"/>
    <w:rsid w:val="00D27F61"/>
    <w:rsid w:val="00D30029"/>
    <w:rsid w:val="00D300EE"/>
    <w:rsid w:val="00D305A5"/>
    <w:rsid w:val="00D30958"/>
    <w:rsid w:val="00D30F06"/>
    <w:rsid w:val="00D31615"/>
    <w:rsid w:val="00D31EC8"/>
    <w:rsid w:val="00D31F25"/>
    <w:rsid w:val="00D32765"/>
    <w:rsid w:val="00D32952"/>
    <w:rsid w:val="00D32A6D"/>
    <w:rsid w:val="00D3383C"/>
    <w:rsid w:val="00D338F0"/>
    <w:rsid w:val="00D33CF1"/>
    <w:rsid w:val="00D33FED"/>
    <w:rsid w:val="00D346C0"/>
    <w:rsid w:val="00D35A0D"/>
    <w:rsid w:val="00D35B34"/>
    <w:rsid w:val="00D35E19"/>
    <w:rsid w:val="00D35FBB"/>
    <w:rsid w:val="00D364B5"/>
    <w:rsid w:val="00D366FF"/>
    <w:rsid w:val="00D372DA"/>
    <w:rsid w:val="00D37588"/>
    <w:rsid w:val="00D3765C"/>
    <w:rsid w:val="00D40384"/>
    <w:rsid w:val="00D4095C"/>
    <w:rsid w:val="00D40F3F"/>
    <w:rsid w:val="00D41210"/>
    <w:rsid w:val="00D412F5"/>
    <w:rsid w:val="00D418FD"/>
    <w:rsid w:val="00D41B73"/>
    <w:rsid w:val="00D4233C"/>
    <w:rsid w:val="00D42655"/>
    <w:rsid w:val="00D42793"/>
    <w:rsid w:val="00D427A7"/>
    <w:rsid w:val="00D428D0"/>
    <w:rsid w:val="00D437E8"/>
    <w:rsid w:val="00D440EE"/>
    <w:rsid w:val="00D44277"/>
    <w:rsid w:val="00D4434F"/>
    <w:rsid w:val="00D44648"/>
    <w:rsid w:val="00D44B2F"/>
    <w:rsid w:val="00D44E42"/>
    <w:rsid w:val="00D45717"/>
    <w:rsid w:val="00D4589E"/>
    <w:rsid w:val="00D4625E"/>
    <w:rsid w:val="00D464F6"/>
    <w:rsid w:val="00D465B3"/>
    <w:rsid w:val="00D467CE"/>
    <w:rsid w:val="00D46D73"/>
    <w:rsid w:val="00D46E2A"/>
    <w:rsid w:val="00D46F15"/>
    <w:rsid w:val="00D47096"/>
    <w:rsid w:val="00D47510"/>
    <w:rsid w:val="00D47BE9"/>
    <w:rsid w:val="00D507C4"/>
    <w:rsid w:val="00D50ED2"/>
    <w:rsid w:val="00D51709"/>
    <w:rsid w:val="00D517D1"/>
    <w:rsid w:val="00D5287D"/>
    <w:rsid w:val="00D52CC4"/>
    <w:rsid w:val="00D5320F"/>
    <w:rsid w:val="00D53304"/>
    <w:rsid w:val="00D53432"/>
    <w:rsid w:val="00D53F9D"/>
    <w:rsid w:val="00D54260"/>
    <w:rsid w:val="00D54295"/>
    <w:rsid w:val="00D54621"/>
    <w:rsid w:val="00D54C55"/>
    <w:rsid w:val="00D55137"/>
    <w:rsid w:val="00D553BD"/>
    <w:rsid w:val="00D55446"/>
    <w:rsid w:val="00D55744"/>
    <w:rsid w:val="00D55ABE"/>
    <w:rsid w:val="00D55CC6"/>
    <w:rsid w:val="00D55D96"/>
    <w:rsid w:val="00D567C2"/>
    <w:rsid w:val="00D56FDD"/>
    <w:rsid w:val="00D5720D"/>
    <w:rsid w:val="00D575C3"/>
    <w:rsid w:val="00D575E6"/>
    <w:rsid w:val="00D57709"/>
    <w:rsid w:val="00D57EEA"/>
    <w:rsid w:val="00D604F3"/>
    <w:rsid w:val="00D609C0"/>
    <w:rsid w:val="00D60ED0"/>
    <w:rsid w:val="00D613A7"/>
    <w:rsid w:val="00D61802"/>
    <w:rsid w:val="00D61E00"/>
    <w:rsid w:val="00D61FA4"/>
    <w:rsid w:val="00D62076"/>
    <w:rsid w:val="00D62ABA"/>
    <w:rsid w:val="00D63859"/>
    <w:rsid w:val="00D6388D"/>
    <w:rsid w:val="00D63B7F"/>
    <w:rsid w:val="00D64B10"/>
    <w:rsid w:val="00D64F79"/>
    <w:rsid w:val="00D65A92"/>
    <w:rsid w:val="00D65E26"/>
    <w:rsid w:val="00D661A4"/>
    <w:rsid w:val="00D668E9"/>
    <w:rsid w:val="00D66D00"/>
    <w:rsid w:val="00D66FB9"/>
    <w:rsid w:val="00D6785C"/>
    <w:rsid w:val="00D67CB5"/>
    <w:rsid w:val="00D67D6C"/>
    <w:rsid w:val="00D701C3"/>
    <w:rsid w:val="00D707DB"/>
    <w:rsid w:val="00D70DC8"/>
    <w:rsid w:val="00D7125D"/>
    <w:rsid w:val="00D71812"/>
    <w:rsid w:val="00D7200F"/>
    <w:rsid w:val="00D728B7"/>
    <w:rsid w:val="00D72E45"/>
    <w:rsid w:val="00D72F98"/>
    <w:rsid w:val="00D73406"/>
    <w:rsid w:val="00D735F3"/>
    <w:rsid w:val="00D73D01"/>
    <w:rsid w:val="00D74831"/>
    <w:rsid w:val="00D74A62"/>
    <w:rsid w:val="00D74D4B"/>
    <w:rsid w:val="00D74E9A"/>
    <w:rsid w:val="00D75021"/>
    <w:rsid w:val="00D75386"/>
    <w:rsid w:val="00D755CD"/>
    <w:rsid w:val="00D7564C"/>
    <w:rsid w:val="00D75850"/>
    <w:rsid w:val="00D758C9"/>
    <w:rsid w:val="00D76415"/>
    <w:rsid w:val="00D768F4"/>
    <w:rsid w:val="00D76C67"/>
    <w:rsid w:val="00D76E44"/>
    <w:rsid w:val="00D76F45"/>
    <w:rsid w:val="00D771E7"/>
    <w:rsid w:val="00D77558"/>
    <w:rsid w:val="00D8002D"/>
    <w:rsid w:val="00D81451"/>
    <w:rsid w:val="00D81803"/>
    <w:rsid w:val="00D81E7E"/>
    <w:rsid w:val="00D82414"/>
    <w:rsid w:val="00D8247A"/>
    <w:rsid w:val="00D82DB4"/>
    <w:rsid w:val="00D83407"/>
    <w:rsid w:val="00D83E13"/>
    <w:rsid w:val="00D84554"/>
    <w:rsid w:val="00D84594"/>
    <w:rsid w:val="00D85447"/>
    <w:rsid w:val="00D85663"/>
    <w:rsid w:val="00D867C6"/>
    <w:rsid w:val="00D867CC"/>
    <w:rsid w:val="00D86A34"/>
    <w:rsid w:val="00D86B75"/>
    <w:rsid w:val="00D86F09"/>
    <w:rsid w:val="00D8770C"/>
    <w:rsid w:val="00D87AF8"/>
    <w:rsid w:val="00D87C48"/>
    <w:rsid w:val="00D87CFB"/>
    <w:rsid w:val="00D909AA"/>
    <w:rsid w:val="00D90A95"/>
    <w:rsid w:val="00D90B33"/>
    <w:rsid w:val="00D90CD7"/>
    <w:rsid w:val="00D90F0A"/>
    <w:rsid w:val="00D912AE"/>
    <w:rsid w:val="00D914BE"/>
    <w:rsid w:val="00D91556"/>
    <w:rsid w:val="00D91682"/>
    <w:rsid w:val="00D91F49"/>
    <w:rsid w:val="00D922BD"/>
    <w:rsid w:val="00D925BB"/>
    <w:rsid w:val="00D9286B"/>
    <w:rsid w:val="00D92AB4"/>
    <w:rsid w:val="00D92C04"/>
    <w:rsid w:val="00D92FCA"/>
    <w:rsid w:val="00D9320E"/>
    <w:rsid w:val="00D93DDB"/>
    <w:rsid w:val="00D9433E"/>
    <w:rsid w:val="00D943D4"/>
    <w:rsid w:val="00D94661"/>
    <w:rsid w:val="00D97430"/>
    <w:rsid w:val="00D97A1F"/>
    <w:rsid w:val="00D97B9B"/>
    <w:rsid w:val="00D97D9B"/>
    <w:rsid w:val="00DA0D26"/>
    <w:rsid w:val="00DA0EFA"/>
    <w:rsid w:val="00DA107E"/>
    <w:rsid w:val="00DA1528"/>
    <w:rsid w:val="00DA1985"/>
    <w:rsid w:val="00DA2232"/>
    <w:rsid w:val="00DA356A"/>
    <w:rsid w:val="00DA392B"/>
    <w:rsid w:val="00DA3E85"/>
    <w:rsid w:val="00DA4124"/>
    <w:rsid w:val="00DA4437"/>
    <w:rsid w:val="00DA498B"/>
    <w:rsid w:val="00DA4F58"/>
    <w:rsid w:val="00DA5219"/>
    <w:rsid w:val="00DA54FC"/>
    <w:rsid w:val="00DA5977"/>
    <w:rsid w:val="00DA5A92"/>
    <w:rsid w:val="00DA7AB5"/>
    <w:rsid w:val="00DB04C5"/>
    <w:rsid w:val="00DB0688"/>
    <w:rsid w:val="00DB07A9"/>
    <w:rsid w:val="00DB13E4"/>
    <w:rsid w:val="00DB1400"/>
    <w:rsid w:val="00DB1782"/>
    <w:rsid w:val="00DB1D27"/>
    <w:rsid w:val="00DB25B8"/>
    <w:rsid w:val="00DB28DA"/>
    <w:rsid w:val="00DB29C0"/>
    <w:rsid w:val="00DB2AC0"/>
    <w:rsid w:val="00DB2BEA"/>
    <w:rsid w:val="00DB2D05"/>
    <w:rsid w:val="00DB2D27"/>
    <w:rsid w:val="00DB2D7F"/>
    <w:rsid w:val="00DB2F02"/>
    <w:rsid w:val="00DB3116"/>
    <w:rsid w:val="00DB3554"/>
    <w:rsid w:val="00DB37AA"/>
    <w:rsid w:val="00DB4590"/>
    <w:rsid w:val="00DB4827"/>
    <w:rsid w:val="00DB4EB6"/>
    <w:rsid w:val="00DB54D6"/>
    <w:rsid w:val="00DB5C91"/>
    <w:rsid w:val="00DB5E1C"/>
    <w:rsid w:val="00DB62C0"/>
    <w:rsid w:val="00DB65D4"/>
    <w:rsid w:val="00DB671F"/>
    <w:rsid w:val="00DB6A3E"/>
    <w:rsid w:val="00DB7B6F"/>
    <w:rsid w:val="00DB7E85"/>
    <w:rsid w:val="00DC00D2"/>
    <w:rsid w:val="00DC0342"/>
    <w:rsid w:val="00DC0A78"/>
    <w:rsid w:val="00DC0C28"/>
    <w:rsid w:val="00DC0C45"/>
    <w:rsid w:val="00DC0D6B"/>
    <w:rsid w:val="00DC1632"/>
    <w:rsid w:val="00DC16F2"/>
    <w:rsid w:val="00DC1ABF"/>
    <w:rsid w:val="00DC21E6"/>
    <w:rsid w:val="00DC2485"/>
    <w:rsid w:val="00DC27F5"/>
    <w:rsid w:val="00DC2E32"/>
    <w:rsid w:val="00DC322D"/>
    <w:rsid w:val="00DC381B"/>
    <w:rsid w:val="00DC3B4F"/>
    <w:rsid w:val="00DC4999"/>
    <w:rsid w:val="00DC4A4D"/>
    <w:rsid w:val="00DC4DF2"/>
    <w:rsid w:val="00DC586A"/>
    <w:rsid w:val="00DC5A12"/>
    <w:rsid w:val="00DC5DE9"/>
    <w:rsid w:val="00DC625A"/>
    <w:rsid w:val="00DC6AB2"/>
    <w:rsid w:val="00DC7266"/>
    <w:rsid w:val="00DD01C8"/>
    <w:rsid w:val="00DD0297"/>
    <w:rsid w:val="00DD0A05"/>
    <w:rsid w:val="00DD0FB2"/>
    <w:rsid w:val="00DD12B9"/>
    <w:rsid w:val="00DD15C9"/>
    <w:rsid w:val="00DD16C6"/>
    <w:rsid w:val="00DD1A42"/>
    <w:rsid w:val="00DD1BFE"/>
    <w:rsid w:val="00DD1F40"/>
    <w:rsid w:val="00DD2303"/>
    <w:rsid w:val="00DD27C2"/>
    <w:rsid w:val="00DD28C7"/>
    <w:rsid w:val="00DD39D2"/>
    <w:rsid w:val="00DD39E2"/>
    <w:rsid w:val="00DD3B42"/>
    <w:rsid w:val="00DD3F88"/>
    <w:rsid w:val="00DD430B"/>
    <w:rsid w:val="00DD4AC5"/>
    <w:rsid w:val="00DD51E8"/>
    <w:rsid w:val="00DD5562"/>
    <w:rsid w:val="00DD588D"/>
    <w:rsid w:val="00DD5B7B"/>
    <w:rsid w:val="00DD5D4B"/>
    <w:rsid w:val="00DD6126"/>
    <w:rsid w:val="00DD642D"/>
    <w:rsid w:val="00DD666F"/>
    <w:rsid w:val="00DD72AD"/>
    <w:rsid w:val="00DD73E1"/>
    <w:rsid w:val="00DD73F6"/>
    <w:rsid w:val="00DE0077"/>
    <w:rsid w:val="00DE0253"/>
    <w:rsid w:val="00DE02BF"/>
    <w:rsid w:val="00DE0A9A"/>
    <w:rsid w:val="00DE1A6E"/>
    <w:rsid w:val="00DE1AAE"/>
    <w:rsid w:val="00DE1AE2"/>
    <w:rsid w:val="00DE1F9F"/>
    <w:rsid w:val="00DE2193"/>
    <w:rsid w:val="00DE2B91"/>
    <w:rsid w:val="00DE2CFA"/>
    <w:rsid w:val="00DE32E2"/>
    <w:rsid w:val="00DE397B"/>
    <w:rsid w:val="00DE3EC6"/>
    <w:rsid w:val="00DE41E9"/>
    <w:rsid w:val="00DE4711"/>
    <w:rsid w:val="00DE4B96"/>
    <w:rsid w:val="00DE4DA4"/>
    <w:rsid w:val="00DE58DB"/>
    <w:rsid w:val="00DE5919"/>
    <w:rsid w:val="00DE624E"/>
    <w:rsid w:val="00DE671E"/>
    <w:rsid w:val="00DE7131"/>
    <w:rsid w:val="00DE74E5"/>
    <w:rsid w:val="00DE7994"/>
    <w:rsid w:val="00DE7B56"/>
    <w:rsid w:val="00DF0262"/>
    <w:rsid w:val="00DF049A"/>
    <w:rsid w:val="00DF06CC"/>
    <w:rsid w:val="00DF0790"/>
    <w:rsid w:val="00DF0AE5"/>
    <w:rsid w:val="00DF0AE8"/>
    <w:rsid w:val="00DF0EB0"/>
    <w:rsid w:val="00DF0F0E"/>
    <w:rsid w:val="00DF108B"/>
    <w:rsid w:val="00DF10C8"/>
    <w:rsid w:val="00DF133D"/>
    <w:rsid w:val="00DF1350"/>
    <w:rsid w:val="00DF1619"/>
    <w:rsid w:val="00DF18E7"/>
    <w:rsid w:val="00DF197A"/>
    <w:rsid w:val="00DF1F36"/>
    <w:rsid w:val="00DF2027"/>
    <w:rsid w:val="00DF2388"/>
    <w:rsid w:val="00DF2CFD"/>
    <w:rsid w:val="00DF2D61"/>
    <w:rsid w:val="00DF305B"/>
    <w:rsid w:val="00DF3229"/>
    <w:rsid w:val="00DF3910"/>
    <w:rsid w:val="00DF3A45"/>
    <w:rsid w:val="00DF440E"/>
    <w:rsid w:val="00DF4AA1"/>
    <w:rsid w:val="00DF4AE5"/>
    <w:rsid w:val="00DF4D16"/>
    <w:rsid w:val="00DF4F29"/>
    <w:rsid w:val="00DF556C"/>
    <w:rsid w:val="00DF5649"/>
    <w:rsid w:val="00DF5D05"/>
    <w:rsid w:val="00DF6C96"/>
    <w:rsid w:val="00DF6DB2"/>
    <w:rsid w:val="00DF6FEA"/>
    <w:rsid w:val="00DF72A7"/>
    <w:rsid w:val="00DF787B"/>
    <w:rsid w:val="00DF7ADC"/>
    <w:rsid w:val="00DF7BC6"/>
    <w:rsid w:val="00DF7F06"/>
    <w:rsid w:val="00E004D9"/>
    <w:rsid w:val="00E00DA8"/>
    <w:rsid w:val="00E01767"/>
    <w:rsid w:val="00E0204E"/>
    <w:rsid w:val="00E02DBE"/>
    <w:rsid w:val="00E035C1"/>
    <w:rsid w:val="00E03949"/>
    <w:rsid w:val="00E043E4"/>
    <w:rsid w:val="00E047F0"/>
    <w:rsid w:val="00E050FF"/>
    <w:rsid w:val="00E05854"/>
    <w:rsid w:val="00E05940"/>
    <w:rsid w:val="00E05D14"/>
    <w:rsid w:val="00E05D40"/>
    <w:rsid w:val="00E06C7C"/>
    <w:rsid w:val="00E06FA9"/>
    <w:rsid w:val="00E0725E"/>
    <w:rsid w:val="00E076EB"/>
    <w:rsid w:val="00E07793"/>
    <w:rsid w:val="00E077CD"/>
    <w:rsid w:val="00E07E0F"/>
    <w:rsid w:val="00E1045B"/>
    <w:rsid w:val="00E10E5A"/>
    <w:rsid w:val="00E10EDB"/>
    <w:rsid w:val="00E11143"/>
    <w:rsid w:val="00E115AF"/>
    <w:rsid w:val="00E125D7"/>
    <w:rsid w:val="00E126A5"/>
    <w:rsid w:val="00E12BCF"/>
    <w:rsid w:val="00E12FAB"/>
    <w:rsid w:val="00E13994"/>
    <w:rsid w:val="00E14742"/>
    <w:rsid w:val="00E147FA"/>
    <w:rsid w:val="00E14ACA"/>
    <w:rsid w:val="00E14E71"/>
    <w:rsid w:val="00E15009"/>
    <w:rsid w:val="00E1521B"/>
    <w:rsid w:val="00E1547D"/>
    <w:rsid w:val="00E164B5"/>
    <w:rsid w:val="00E16838"/>
    <w:rsid w:val="00E16DA8"/>
    <w:rsid w:val="00E17488"/>
    <w:rsid w:val="00E17544"/>
    <w:rsid w:val="00E17B77"/>
    <w:rsid w:val="00E17B86"/>
    <w:rsid w:val="00E17E80"/>
    <w:rsid w:val="00E17F60"/>
    <w:rsid w:val="00E17F8A"/>
    <w:rsid w:val="00E20255"/>
    <w:rsid w:val="00E2059C"/>
    <w:rsid w:val="00E20C4D"/>
    <w:rsid w:val="00E20F28"/>
    <w:rsid w:val="00E2111B"/>
    <w:rsid w:val="00E21572"/>
    <w:rsid w:val="00E21FA3"/>
    <w:rsid w:val="00E2273F"/>
    <w:rsid w:val="00E229F2"/>
    <w:rsid w:val="00E23945"/>
    <w:rsid w:val="00E23B5F"/>
    <w:rsid w:val="00E24D8C"/>
    <w:rsid w:val="00E24F66"/>
    <w:rsid w:val="00E258CC"/>
    <w:rsid w:val="00E25EDE"/>
    <w:rsid w:val="00E2631A"/>
    <w:rsid w:val="00E2660E"/>
    <w:rsid w:val="00E2676B"/>
    <w:rsid w:val="00E27E14"/>
    <w:rsid w:val="00E303E2"/>
    <w:rsid w:val="00E30602"/>
    <w:rsid w:val="00E3087B"/>
    <w:rsid w:val="00E30FFC"/>
    <w:rsid w:val="00E31108"/>
    <w:rsid w:val="00E31689"/>
    <w:rsid w:val="00E31882"/>
    <w:rsid w:val="00E31A15"/>
    <w:rsid w:val="00E31C32"/>
    <w:rsid w:val="00E325D6"/>
    <w:rsid w:val="00E32B8C"/>
    <w:rsid w:val="00E333F5"/>
    <w:rsid w:val="00E33D0D"/>
    <w:rsid w:val="00E33E87"/>
    <w:rsid w:val="00E33FF8"/>
    <w:rsid w:val="00E34291"/>
    <w:rsid w:val="00E35007"/>
    <w:rsid w:val="00E35263"/>
    <w:rsid w:val="00E35A55"/>
    <w:rsid w:val="00E35B49"/>
    <w:rsid w:val="00E35FB5"/>
    <w:rsid w:val="00E3658C"/>
    <w:rsid w:val="00E3662B"/>
    <w:rsid w:val="00E36A4A"/>
    <w:rsid w:val="00E3749D"/>
    <w:rsid w:val="00E37997"/>
    <w:rsid w:val="00E4058B"/>
    <w:rsid w:val="00E405B2"/>
    <w:rsid w:val="00E40A64"/>
    <w:rsid w:val="00E40A71"/>
    <w:rsid w:val="00E40B08"/>
    <w:rsid w:val="00E40DB7"/>
    <w:rsid w:val="00E40FF4"/>
    <w:rsid w:val="00E4112B"/>
    <w:rsid w:val="00E415CC"/>
    <w:rsid w:val="00E4187C"/>
    <w:rsid w:val="00E419AB"/>
    <w:rsid w:val="00E41B56"/>
    <w:rsid w:val="00E4200A"/>
    <w:rsid w:val="00E420FF"/>
    <w:rsid w:val="00E4258E"/>
    <w:rsid w:val="00E428EE"/>
    <w:rsid w:val="00E436C1"/>
    <w:rsid w:val="00E4384B"/>
    <w:rsid w:val="00E44FE6"/>
    <w:rsid w:val="00E45166"/>
    <w:rsid w:val="00E4542B"/>
    <w:rsid w:val="00E45432"/>
    <w:rsid w:val="00E4573A"/>
    <w:rsid w:val="00E45BE0"/>
    <w:rsid w:val="00E45C2C"/>
    <w:rsid w:val="00E464E2"/>
    <w:rsid w:val="00E46B81"/>
    <w:rsid w:val="00E46FD6"/>
    <w:rsid w:val="00E47C3D"/>
    <w:rsid w:val="00E47DD9"/>
    <w:rsid w:val="00E505F9"/>
    <w:rsid w:val="00E50666"/>
    <w:rsid w:val="00E5069C"/>
    <w:rsid w:val="00E5073E"/>
    <w:rsid w:val="00E51050"/>
    <w:rsid w:val="00E511D0"/>
    <w:rsid w:val="00E511D4"/>
    <w:rsid w:val="00E51918"/>
    <w:rsid w:val="00E522A8"/>
    <w:rsid w:val="00E526B9"/>
    <w:rsid w:val="00E5362B"/>
    <w:rsid w:val="00E5382B"/>
    <w:rsid w:val="00E539C7"/>
    <w:rsid w:val="00E53A1F"/>
    <w:rsid w:val="00E53AE0"/>
    <w:rsid w:val="00E548B7"/>
    <w:rsid w:val="00E548E1"/>
    <w:rsid w:val="00E549BE"/>
    <w:rsid w:val="00E54A13"/>
    <w:rsid w:val="00E54AC4"/>
    <w:rsid w:val="00E54EB3"/>
    <w:rsid w:val="00E5543B"/>
    <w:rsid w:val="00E55503"/>
    <w:rsid w:val="00E55821"/>
    <w:rsid w:val="00E55A29"/>
    <w:rsid w:val="00E55B7C"/>
    <w:rsid w:val="00E55D26"/>
    <w:rsid w:val="00E55F30"/>
    <w:rsid w:val="00E55F57"/>
    <w:rsid w:val="00E5610C"/>
    <w:rsid w:val="00E56553"/>
    <w:rsid w:val="00E56877"/>
    <w:rsid w:val="00E56AAA"/>
    <w:rsid w:val="00E57124"/>
    <w:rsid w:val="00E6025C"/>
    <w:rsid w:val="00E602B7"/>
    <w:rsid w:val="00E61067"/>
    <w:rsid w:val="00E6116E"/>
    <w:rsid w:val="00E61651"/>
    <w:rsid w:val="00E619B1"/>
    <w:rsid w:val="00E61E4D"/>
    <w:rsid w:val="00E61F2E"/>
    <w:rsid w:val="00E61FFA"/>
    <w:rsid w:val="00E62050"/>
    <w:rsid w:val="00E626D8"/>
    <w:rsid w:val="00E6298A"/>
    <w:rsid w:val="00E63A8F"/>
    <w:rsid w:val="00E63AE9"/>
    <w:rsid w:val="00E63BB4"/>
    <w:rsid w:val="00E641BE"/>
    <w:rsid w:val="00E64708"/>
    <w:rsid w:val="00E64F19"/>
    <w:rsid w:val="00E65114"/>
    <w:rsid w:val="00E656FE"/>
    <w:rsid w:val="00E659AA"/>
    <w:rsid w:val="00E66138"/>
    <w:rsid w:val="00E663BE"/>
    <w:rsid w:val="00E6641F"/>
    <w:rsid w:val="00E665BE"/>
    <w:rsid w:val="00E66983"/>
    <w:rsid w:val="00E66A3B"/>
    <w:rsid w:val="00E66E2A"/>
    <w:rsid w:val="00E66F22"/>
    <w:rsid w:val="00E67AE6"/>
    <w:rsid w:val="00E70EEC"/>
    <w:rsid w:val="00E71AA7"/>
    <w:rsid w:val="00E71AB6"/>
    <w:rsid w:val="00E71E3E"/>
    <w:rsid w:val="00E72026"/>
    <w:rsid w:val="00E7207F"/>
    <w:rsid w:val="00E72EDF"/>
    <w:rsid w:val="00E73976"/>
    <w:rsid w:val="00E73997"/>
    <w:rsid w:val="00E73AD1"/>
    <w:rsid w:val="00E74382"/>
    <w:rsid w:val="00E7499B"/>
    <w:rsid w:val="00E74DA8"/>
    <w:rsid w:val="00E754D2"/>
    <w:rsid w:val="00E75515"/>
    <w:rsid w:val="00E7556E"/>
    <w:rsid w:val="00E75C37"/>
    <w:rsid w:val="00E75EFC"/>
    <w:rsid w:val="00E7613B"/>
    <w:rsid w:val="00E76167"/>
    <w:rsid w:val="00E778D0"/>
    <w:rsid w:val="00E77F9E"/>
    <w:rsid w:val="00E80221"/>
    <w:rsid w:val="00E807DA"/>
    <w:rsid w:val="00E812C9"/>
    <w:rsid w:val="00E81587"/>
    <w:rsid w:val="00E81DD1"/>
    <w:rsid w:val="00E82106"/>
    <w:rsid w:val="00E8217F"/>
    <w:rsid w:val="00E8224E"/>
    <w:rsid w:val="00E82B11"/>
    <w:rsid w:val="00E82B3F"/>
    <w:rsid w:val="00E82BD8"/>
    <w:rsid w:val="00E832D3"/>
    <w:rsid w:val="00E8348B"/>
    <w:rsid w:val="00E8353A"/>
    <w:rsid w:val="00E83AE7"/>
    <w:rsid w:val="00E83E71"/>
    <w:rsid w:val="00E83E8D"/>
    <w:rsid w:val="00E8485E"/>
    <w:rsid w:val="00E84B66"/>
    <w:rsid w:val="00E84BF0"/>
    <w:rsid w:val="00E850E2"/>
    <w:rsid w:val="00E85711"/>
    <w:rsid w:val="00E85782"/>
    <w:rsid w:val="00E858F7"/>
    <w:rsid w:val="00E85DAF"/>
    <w:rsid w:val="00E86621"/>
    <w:rsid w:val="00E86874"/>
    <w:rsid w:val="00E86A06"/>
    <w:rsid w:val="00E86A76"/>
    <w:rsid w:val="00E86B1A"/>
    <w:rsid w:val="00E86BE6"/>
    <w:rsid w:val="00E87343"/>
    <w:rsid w:val="00E87AAD"/>
    <w:rsid w:val="00E902AB"/>
    <w:rsid w:val="00E9079E"/>
    <w:rsid w:val="00E908BE"/>
    <w:rsid w:val="00E909EE"/>
    <w:rsid w:val="00E909F4"/>
    <w:rsid w:val="00E90A3C"/>
    <w:rsid w:val="00E91082"/>
    <w:rsid w:val="00E91684"/>
    <w:rsid w:val="00E91DDA"/>
    <w:rsid w:val="00E9216D"/>
    <w:rsid w:val="00E9334A"/>
    <w:rsid w:val="00E93516"/>
    <w:rsid w:val="00E9377E"/>
    <w:rsid w:val="00E94507"/>
    <w:rsid w:val="00E94575"/>
    <w:rsid w:val="00E94A16"/>
    <w:rsid w:val="00E95010"/>
    <w:rsid w:val="00E95ADB"/>
    <w:rsid w:val="00E96301"/>
    <w:rsid w:val="00E96373"/>
    <w:rsid w:val="00E966D8"/>
    <w:rsid w:val="00E96BED"/>
    <w:rsid w:val="00E96DDD"/>
    <w:rsid w:val="00E97DA6"/>
    <w:rsid w:val="00EA0581"/>
    <w:rsid w:val="00EA0749"/>
    <w:rsid w:val="00EA0B42"/>
    <w:rsid w:val="00EA0FC6"/>
    <w:rsid w:val="00EA1497"/>
    <w:rsid w:val="00EA160F"/>
    <w:rsid w:val="00EA1668"/>
    <w:rsid w:val="00EA1700"/>
    <w:rsid w:val="00EA17C3"/>
    <w:rsid w:val="00EA19C4"/>
    <w:rsid w:val="00EA1BAE"/>
    <w:rsid w:val="00EA1DEA"/>
    <w:rsid w:val="00EA2617"/>
    <w:rsid w:val="00EA2B84"/>
    <w:rsid w:val="00EA2CE3"/>
    <w:rsid w:val="00EA33F8"/>
    <w:rsid w:val="00EA34A6"/>
    <w:rsid w:val="00EA428F"/>
    <w:rsid w:val="00EA4BCF"/>
    <w:rsid w:val="00EA4BFD"/>
    <w:rsid w:val="00EA5881"/>
    <w:rsid w:val="00EA5CDC"/>
    <w:rsid w:val="00EA6083"/>
    <w:rsid w:val="00EA6B86"/>
    <w:rsid w:val="00EA7745"/>
    <w:rsid w:val="00EA775A"/>
    <w:rsid w:val="00EA7BA2"/>
    <w:rsid w:val="00EA7E31"/>
    <w:rsid w:val="00EA7EF5"/>
    <w:rsid w:val="00EB08E1"/>
    <w:rsid w:val="00EB0A50"/>
    <w:rsid w:val="00EB1783"/>
    <w:rsid w:val="00EB1D71"/>
    <w:rsid w:val="00EB1DFF"/>
    <w:rsid w:val="00EB23AF"/>
    <w:rsid w:val="00EB24FA"/>
    <w:rsid w:val="00EB27F6"/>
    <w:rsid w:val="00EB2A11"/>
    <w:rsid w:val="00EB2C2D"/>
    <w:rsid w:val="00EB332B"/>
    <w:rsid w:val="00EB3916"/>
    <w:rsid w:val="00EB4A63"/>
    <w:rsid w:val="00EB4EF7"/>
    <w:rsid w:val="00EB5283"/>
    <w:rsid w:val="00EB5540"/>
    <w:rsid w:val="00EB59E5"/>
    <w:rsid w:val="00EB5D03"/>
    <w:rsid w:val="00EB6537"/>
    <w:rsid w:val="00EB7270"/>
    <w:rsid w:val="00EB72B7"/>
    <w:rsid w:val="00EB73F0"/>
    <w:rsid w:val="00EB770A"/>
    <w:rsid w:val="00EB7732"/>
    <w:rsid w:val="00EB7E4A"/>
    <w:rsid w:val="00EB7E86"/>
    <w:rsid w:val="00EB7FD7"/>
    <w:rsid w:val="00EC04DA"/>
    <w:rsid w:val="00EC074D"/>
    <w:rsid w:val="00EC1CAA"/>
    <w:rsid w:val="00EC1F2F"/>
    <w:rsid w:val="00EC2F4D"/>
    <w:rsid w:val="00EC2F63"/>
    <w:rsid w:val="00EC328F"/>
    <w:rsid w:val="00EC3633"/>
    <w:rsid w:val="00EC3834"/>
    <w:rsid w:val="00EC3B19"/>
    <w:rsid w:val="00EC3BBA"/>
    <w:rsid w:val="00EC443B"/>
    <w:rsid w:val="00EC4638"/>
    <w:rsid w:val="00EC4BF0"/>
    <w:rsid w:val="00EC513A"/>
    <w:rsid w:val="00EC61FA"/>
    <w:rsid w:val="00EC66A5"/>
    <w:rsid w:val="00EC6D26"/>
    <w:rsid w:val="00EC729C"/>
    <w:rsid w:val="00EC7517"/>
    <w:rsid w:val="00ED0A01"/>
    <w:rsid w:val="00ED136E"/>
    <w:rsid w:val="00ED1435"/>
    <w:rsid w:val="00ED2EA1"/>
    <w:rsid w:val="00ED34DD"/>
    <w:rsid w:val="00ED35E9"/>
    <w:rsid w:val="00ED373B"/>
    <w:rsid w:val="00ED48F5"/>
    <w:rsid w:val="00ED4B5A"/>
    <w:rsid w:val="00ED4BBC"/>
    <w:rsid w:val="00ED4E3B"/>
    <w:rsid w:val="00ED532F"/>
    <w:rsid w:val="00ED54DF"/>
    <w:rsid w:val="00ED5999"/>
    <w:rsid w:val="00ED5B53"/>
    <w:rsid w:val="00ED5D64"/>
    <w:rsid w:val="00ED654E"/>
    <w:rsid w:val="00ED6604"/>
    <w:rsid w:val="00ED6745"/>
    <w:rsid w:val="00ED6D29"/>
    <w:rsid w:val="00ED6E43"/>
    <w:rsid w:val="00ED6EE7"/>
    <w:rsid w:val="00ED721E"/>
    <w:rsid w:val="00ED7615"/>
    <w:rsid w:val="00ED7CE0"/>
    <w:rsid w:val="00ED7DD0"/>
    <w:rsid w:val="00EE05F6"/>
    <w:rsid w:val="00EE06CA"/>
    <w:rsid w:val="00EE06F6"/>
    <w:rsid w:val="00EE0840"/>
    <w:rsid w:val="00EE0B98"/>
    <w:rsid w:val="00EE0C47"/>
    <w:rsid w:val="00EE1165"/>
    <w:rsid w:val="00EE148C"/>
    <w:rsid w:val="00EE1D15"/>
    <w:rsid w:val="00EE1F0C"/>
    <w:rsid w:val="00EE1FA0"/>
    <w:rsid w:val="00EE2530"/>
    <w:rsid w:val="00EE2754"/>
    <w:rsid w:val="00EE2A58"/>
    <w:rsid w:val="00EE2D17"/>
    <w:rsid w:val="00EE320F"/>
    <w:rsid w:val="00EE35C5"/>
    <w:rsid w:val="00EE3D03"/>
    <w:rsid w:val="00EE41C8"/>
    <w:rsid w:val="00EE4203"/>
    <w:rsid w:val="00EE45B3"/>
    <w:rsid w:val="00EE4751"/>
    <w:rsid w:val="00EE483F"/>
    <w:rsid w:val="00EE4893"/>
    <w:rsid w:val="00EE4A03"/>
    <w:rsid w:val="00EE5385"/>
    <w:rsid w:val="00EE53B1"/>
    <w:rsid w:val="00EE55A0"/>
    <w:rsid w:val="00EE5B47"/>
    <w:rsid w:val="00EE5E0B"/>
    <w:rsid w:val="00EE616B"/>
    <w:rsid w:val="00EE77FC"/>
    <w:rsid w:val="00EF033B"/>
    <w:rsid w:val="00EF0813"/>
    <w:rsid w:val="00EF0960"/>
    <w:rsid w:val="00EF10E5"/>
    <w:rsid w:val="00EF1318"/>
    <w:rsid w:val="00EF2328"/>
    <w:rsid w:val="00EF2D13"/>
    <w:rsid w:val="00EF308E"/>
    <w:rsid w:val="00EF3379"/>
    <w:rsid w:val="00EF4083"/>
    <w:rsid w:val="00EF421F"/>
    <w:rsid w:val="00EF4514"/>
    <w:rsid w:val="00EF4E5A"/>
    <w:rsid w:val="00EF5D49"/>
    <w:rsid w:val="00EF64BC"/>
    <w:rsid w:val="00EF6ACE"/>
    <w:rsid w:val="00EF6BBB"/>
    <w:rsid w:val="00EF6E66"/>
    <w:rsid w:val="00EF7853"/>
    <w:rsid w:val="00EF7A2C"/>
    <w:rsid w:val="00F001CB"/>
    <w:rsid w:val="00F00430"/>
    <w:rsid w:val="00F00581"/>
    <w:rsid w:val="00F00763"/>
    <w:rsid w:val="00F00C31"/>
    <w:rsid w:val="00F01C30"/>
    <w:rsid w:val="00F01CAB"/>
    <w:rsid w:val="00F026A0"/>
    <w:rsid w:val="00F02A63"/>
    <w:rsid w:val="00F02A6B"/>
    <w:rsid w:val="00F02C40"/>
    <w:rsid w:val="00F03368"/>
    <w:rsid w:val="00F034A4"/>
    <w:rsid w:val="00F03652"/>
    <w:rsid w:val="00F037F5"/>
    <w:rsid w:val="00F03A39"/>
    <w:rsid w:val="00F041A1"/>
    <w:rsid w:val="00F0451F"/>
    <w:rsid w:val="00F048E5"/>
    <w:rsid w:val="00F04E0F"/>
    <w:rsid w:val="00F05DDB"/>
    <w:rsid w:val="00F0698F"/>
    <w:rsid w:val="00F06BC4"/>
    <w:rsid w:val="00F07C99"/>
    <w:rsid w:val="00F10241"/>
    <w:rsid w:val="00F10611"/>
    <w:rsid w:val="00F10AE1"/>
    <w:rsid w:val="00F10EAC"/>
    <w:rsid w:val="00F10F00"/>
    <w:rsid w:val="00F110C5"/>
    <w:rsid w:val="00F112A7"/>
    <w:rsid w:val="00F11ED1"/>
    <w:rsid w:val="00F12AAD"/>
    <w:rsid w:val="00F12F6D"/>
    <w:rsid w:val="00F1302B"/>
    <w:rsid w:val="00F134E2"/>
    <w:rsid w:val="00F136BB"/>
    <w:rsid w:val="00F138AB"/>
    <w:rsid w:val="00F13C0D"/>
    <w:rsid w:val="00F13CDC"/>
    <w:rsid w:val="00F13DA8"/>
    <w:rsid w:val="00F13E26"/>
    <w:rsid w:val="00F14221"/>
    <w:rsid w:val="00F1470A"/>
    <w:rsid w:val="00F14B28"/>
    <w:rsid w:val="00F152A1"/>
    <w:rsid w:val="00F157E8"/>
    <w:rsid w:val="00F15C02"/>
    <w:rsid w:val="00F15DB4"/>
    <w:rsid w:val="00F167AC"/>
    <w:rsid w:val="00F16B93"/>
    <w:rsid w:val="00F16DDB"/>
    <w:rsid w:val="00F1716F"/>
    <w:rsid w:val="00F200A7"/>
    <w:rsid w:val="00F202D4"/>
    <w:rsid w:val="00F20730"/>
    <w:rsid w:val="00F20770"/>
    <w:rsid w:val="00F20A8E"/>
    <w:rsid w:val="00F20B87"/>
    <w:rsid w:val="00F20CB1"/>
    <w:rsid w:val="00F20F49"/>
    <w:rsid w:val="00F21114"/>
    <w:rsid w:val="00F21269"/>
    <w:rsid w:val="00F213DB"/>
    <w:rsid w:val="00F2167D"/>
    <w:rsid w:val="00F21A55"/>
    <w:rsid w:val="00F2259C"/>
    <w:rsid w:val="00F22796"/>
    <w:rsid w:val="00F22B65"/>
    <w:rsid w:val="00F22CC5"/>
    <w:rsid w:val="00F22E4A"/>
    <w:rsid w:val="00F23562"/>
    <w:rsid w:val="00F23986"/>
    <w:rsid w:val="00F23F0E"/>
    <w:rsid w:val="00F23FC1"/>
    <w:rsid w:val="00F2410E"/>
    <w:rsid w:val="00F254D1"/>
    <w:rsid w:val="00F25634"/>
    <w:rsid w:val="00F26291"/>
    <w:rsid w:val="00F26C20"/>
    <w:rsid w:val="00F2797D"/>
    <w:rsid w:val="00F27C7F"/>
    <w:rsid w:val="00F27FC8"/>
    <w:rsid w:val="00F3029A"/>
    <w:rsid w:val="00F30397"/>
    <w:rsid w:val="00F30603"/>
    <w:rsid w:val="00F30641"/>
    <w:rsid w:val="00F306FA"/>
    <w:rsid w:val="00F30A6C"/>
    <w:rsid w:val="00F30D21"/>
    <w:rsid w:val="00F30F44"/>
    <w:rsid w:val="00F31786"/>
    <w:rsid w:val="00F325E8"/>
    <w:rsid w:val="00F335EC"/>
    <w:rsid w:val="00F33632"/>
    <w:rsid w:val="00F337B9"/>
    <w:rsid w:val="00F33E88"/>
    <w:rsid w:val="00F34686"/>
    <w:rsid w:val="00F34891"/>
    <w:rsid w:val="00F34EEC"/>
    <w:rsid w:val="00F34FB2"/>
    <w:rsid w:val="00F35185"/>
    <w:rsid w:val="00F35671"/>
    <w:rsid w:val="00F356F5"/>
    <w:rsid w:val="00F36729"/>
    <w:rsid w:val="00F36AA1"/>
    <w:rsid w:val="00F370BF"/>
    <w:rsid w:val="00F37417"/>
    <w:rsid w:val="00F37902"/>
    <w:rsid w:val="00F37C99"/>
    <w:rsid w:val="00F40A13"/>
    <w:rsid w:val="00F40A45"/>
    <w:rsid w:val="00F40ABE"/>
    <w:rsid w:val="00F40F2F"/>
    <w:rsid w:val="00F4121B"/>
    <w:rsid w:val="00F41482"/>
    <w:rsid w:val="00F414B1"/>
    <w:rsid w:val="00F41D79"/>
    <w:rsid w:val="00F41E71"/>
    <w:rsid w:val="00F420C3"/>
    <w:rsid w:val="00F422C0"/>
    <w:rsid w:val="00F42557"/>
    <w:rsid w:val="00F42750"/>
    <w:rsid w:val="00F42ABD"/>
    <w:rsid w:val="00F43632"/>
    <w:rsid w:val="00F43BB5"/>
    <w:rsid w:val="00F43F40"/>
    <w:rsid w:val="00F440BA"/>
    <w:rsid w:val="00F4580F"/>
    <w:rsid w:val="00F46012"/>
    <w:rsid w:val="00F462C4"/>
    <w:rsid w:val="00F4657B"/>
    <w:rsid w:val="00F465AC"/>
    <w:rsid w:val="00F468D9"/>
    <w:rsid w:val="00F46E70"/>
    <w:rsid w:val="00F47004"/>
    <w:rsid w:val="00F47A59"/>
    <w:rsid w:val="00F47DA1"/>
    <w:rsid w:val="00F47F0A"/>
    <w:rsid w:val="00F47FA0"/>
    <w:rsid w:val="00F50C71"/>
    <w:rsid w:val="00F51132"/>
    <w:rsid w:val="00F51337"/>
    <w:rsid w:val="00F519A7"/>
    <w:rsid w:val="00F51A6F"/>
    <w:rsid w:val="00F51AF1"/>
    <w:rsid w:val="00F51E07"/>
    <w:rsid w:val="00F51F09"/>
    <w:rsid w:val="00F52477"/>
    <w:rsid w:val="00F52587"/>
    <w:rsid w:val="00F52830"/>
    <w:rsid w:val="00F538E4"/>
    <w:rsid w:val="00F5390D"/>
    <w:rsid w:val="00F5392E"/>
    <w:rsid w:val="00F539E6"/>
    <w:rsid w:val="00F53CAE"/>
    <w:rsid w:val="00F53F44"/>
    <w:rsid w:val="00F53FAC"/>
    <w:rsid w:val="00F54523"/>
    <w:rsid w:val="00F5495D"/>
    <w:rsid w:val="00F550D6"/>
    <w:rsid w:val="00F551A9"/>
    <w:rsid w:val="00F55470"/>
    <w:rsid w:val="00F5557F"/>
    <w:rsid w:val="00F55CB2"/>
    <w:rsid w:val="00F55EE9"/>
    <w:rsid w:val="00F56914"/>
    <w:rsid w:val="00F56AF9"/>
    <w:rsid w:val="00F57691"/>
    <w:rsid w:val="00F57735"/>
    <w:rsid w:val="00F57931"/>
    <w:rsid w:val="00F57A62"/>
    <w:rsid w:val="00F57C1F"/>
    <w:rsid w:val="00F60031"/>
    <w:rsid w:val="00F6011C"/>
    <w:rsid w:val="00F60E56"/>
    <w:rsid w:val="00F6222B"/>
    <w:rsid w:val="00F622F6"/>
    <w:rsid w:val="00F623C2"/>
    <w:rsid w:val="00F62404"/>
    <w:rsid w:val="00F626B0"/>
    <w:rsid w:val="00F627B0"/>
    <w:rsid w:val="00F62A66"/>
    <w:rsid w:val="00F62CDC"/>
    <w:rsid w:val="00F63A4F"/>
    <w:rsid w:val="00F63BA4"/>
    <w:rsid w:val="00F63E6D"/>
    <w:rsid w:val="00F64978"/>
    <w:rsid w:val="00F64D01"/>
    <w:rsid w:val="00F64DA8"/>
    <w:rsid w:val="00F64DB7"/>
    <w:rsid w:val="00F65419"/>
    <w:rsid w:val="00F65459"/>
    <w:rsid w:val="00F65E52"/>
    <w:rsid w:val="00F66BE1"/>
    <w:rsid w:val="00F66F55"/>
    <w:rsid w:val="00F70B3A"/>
    <w:rsid w:val="00F70C05"/>
    <w:rsid w:val="00F70D99"/>
    <w:rsid w:val="00F70E2E"/>
    <w:rsid w:val="00F71004"/>
    <w:rsid w:val="00F71031"/>
    <w:rsid w:val="00F7166C"/>
    <w:rsid w:val="00F7278F"/>
    <w:rsid w:val="00F72981"/>
    <w:rsid w:val="00F72FB2"/>
    <w:rsid w:val="00F736CB"/>
    <w:rsid w:val="00F74516"/>
    <w:rsid w:val="00F74BF7"/>
    <w:rsid w:val="00F74FBF"/>
    <w:rsid w:val="00F75068"/>
    <w:rsid w:val="00F752F2"/>
    <w:rsid w:val="00F7542F"/>
    <w:rsid w:val="00F75459"/>
    <w:rsid w:val="00F76C19"/>
    <w:rsid w:val="00F7733E"/>
    <w:rsid w:val="00F773CC"/>
    <w:rsid w:val="00F77749"/>
    <w:rsid w:val="00F8059A"/>
    <w:rsid w:val="00F80F96"/>
    <w:rsid w:val="00F81771"/>
    <w:rsid w:val="00F818CA"/>
    <w:rsid w:val="00F81955"/>
    <w:rsid w:val="00F82201"/>
    <w:rsid w:val="00F829B9"/>
    <w:rsid w:val="00F82B48"/>
    <w:rsid w:val="00F82DAF"/>
    <w:rsid w:val="00F836E4"/>
    <w:rsid w:val="00F8399D"/>
    <w:rsid w:val="00F83F6B"/>
    <w:rsid w:val="00F84BED"/>
    <w:rsid w:val="00F85186"/>
    <w:rsid w:val="00F853E2"/>
    <w:rsid w:val="00F85775"/>
    <w:rsid w:val="00F85A86"/>
    <w:rsid w:val="00F85CEE"/>
    <w:rsid w:val="00F85F34"/>
    <w:rsid w:val="00F86328"/>
    <w:rsid w:val="00F8632B"/>
    <w:rsid w:val="00F867A5"/>
    <w:rsid w:val="00F86B92"/>
    <w:rsid w:val="00F86FBC"/>
    <w:rsid w:val="00F871EE"/>
    <w:rsid w:val="00F873D9"/>
    <w:rsid w:val="00F87A81"/>
    <w:rsid w:val="00F87DB1"/>
    <w:rsid w:val="00F87FC7"/>
    <w:rsid w:val="00F90134"/>
    <w:rsid w:val="00F934AE"/>
    <w:rsid w:val="00F93ABD"/>
    <w:rsid w:val="00F93FED"/>
    <w:rsid w:val="00F940A6"/>
    <w:rsid w:val="00F944CF"/>
    <w:rsid w:val="00F94748"/>
    <w:rsid w:val="00F94F0A"/>
    <w:rsid w:val="00F95208"/>
    <w:rsid w:val="00F95597"/>
    <w:rsid w:val="00F9666E"/>
    <w:rsid w:val="00F96821"/>
    <w:rsid w:val="00F96873"/>
    <w:rsid w:val="00F96E5F"/>
    <w:rsid w:val="00F97123"/>
    <w:rsid w:val="00F97604"/>
    <w:rsid w:val="00F979FF"/>
    <w:rsid w:val="00FA051F"/>
    <w:rsid w:val="00FA0541"/>
    <w:rsid w:val="00FA07E1"/>
    <w:rsid w:val="00FA0E45"/>
    <w:rsid w:val="00FA0EE5"/>
    <w:rsid w:val="00FA0FDD"/>
    <w:rsid w:val="00FA17A5"/>
    <w:rsid w:val="00FA188E"/>
    <w:rsid w:val="00FA1C99"/>
    <w:rsid w:val="00FA1CA4"/>
    <w:rsid w:val="00FA1F61"/>
    <w:rsid w:val="00FA2448"/>
    <w:rsid w:val="00FA2A5A"/>
    <w:rsid w:val="00FA2B79"/>
    <w:rsid w:val="00FA2B98"/>
    <w:rsid w:val="00FA2BC4"/>
    <w:rsid w:val="00FA2C39"/>
    <w:rsid w:val="00FA2E8C"/>
    <w:rsid w:val="00FA3958"/>
    <w:rsid w:val="00FA3B0B"/>
    <w:rsid w:val="00FA3BA9"/>
    <w:rsid w:val="00FA4019"/>
    <w:rsid w:val="00FA44DE"/>
    <w:rsid w:val="00FA4597"/>
    <w:rsid w:val="00FA49E0"/>
    <w:rsid w:val="00FA4A6C"/>
    <w:rsid w:val="00FA4ABB"/>
    <w:rsid w:val="00FA5BE9"/>
    <w:rsid w:val="00FA5E46"/>
    <w:rsid w:val="00FA5E4E"/>
    <w:rsid w:val="00FA5EB0"/>
    <w:rsid w:val="00FA61BE"/>
    <w:rsid w:val="00FA62F8"/>
    <w:rsid w:val="00FA63A9"/>
    <w:rsid w:val="00FA6449"/>
    <w:rsid w:val="00FA6C70"/>
    <w:rsid w:val="00FA6C91"/>
    <w:rsid w:val="00FA74EE"/>
    <w:rsid w:val="00FA7B42"/>
    <w:rsid w:val="00FA7B8A"/>
    <w:rsid w:val="00FA7BF0"/>
    <w:rsid w:val="00FA7E00"/>
    <w:rsid w:val="00FA7FD2"/>
    <w:rsid w:val="00FB064B"/>
    <w:rsid w:val="00FB0B96"/>
    <w:rsid w:val="00FB18A6"/>
    <w:rsid w:val="00FB1AB5"/>
    <w:rsid w:val="00FB1D0A"/>
    <w:rsid w:val="00FB2026"/>
    <w:rsid w:val="00FB2398"/>
    <w:rsid w:val="00FB2A87"/>
    <w:rsid w:val="00FB30F1"/>
    <w:rsid w:val="00FB3336"/>
    <w:rsid w:val="00FB3632"/>
    <w:rsid w:val="00FB38C2"/>
    <w:rsid w:val="00FB3B35"/>
    <w:rsid w:val="00FB3B36"/>
    <w:rsid w:val="00FB47FF"/>
    <w:rsid w:val="00FB4B22"/>
    <w:rsid w:val="00FB581B"/>
    <w:rsid w:val="00FB6385"/>
    <w:rsid w:val="00FB6858"/>
    <w:rsid w:val="00FB6A66"/>
    <w:rsid w:val="00FB6AEE"/>
    <w:rsid w:val="00FB6FD0"/>
    <w:rsid w:val="00FB6FFA"/>
    <w:rsid w:val="00FB7723"/>
    <w:rsid w:val="00FB78AD"/>
    <w:rsid w:val="00FB7BC1"/>
    <w:rsid w:val="00FC07DB"/>
    <w:rsid w:val="00FC0883"/>
    <w:rsid w:val="00FC0FCC"/>
    <w:rsid w:val="00FC1617"/>
    <w:rsid w:val="00FC16E3"/>
    <w:rsid w:val="00FC1FF5"/>
    <w:rsid w:val="00FC2158"/>
    <w:rsid w:val="00FC2162"/>
    <w:rsid w:val="00FC2185"/>
    <w:rsid w:val="00FC2222"/>
    <w:rsid w:val="00FC2B58"/>
    <w:rsid w:val="00FC3134"/>
    <w:rsid w:val="00FC3736"/>
    <w:rsid w:val="00FC3750"/>
    <w:rsid w:val="00FC3B66"/>
    <w:rsid w:val="00FC4047"/>
    <w:rsid w:val="00FC42F0"/>
    <w:rsid w:val="00FC45F2"/>
    <w:rsid w:val="00FC4CC5"/>
    <w:rsid w:val="00FC4E01"/>
    <w:rsid w:val="00FC54C0"/>
    <w:rsid w:val="00FC581E"/>
    <w:rsid w:val="00FC5D6C"/>
    <w:rsid w:val="00FC73AA"/>
    <w:rsid w:val="00FD0807"/>
    <w:rsid w:val="00FD0B21"/>
    <w:rsid w:val="00FD0B4D"/>
    <w:rsid w:val="00FD132E"/>
    <w:rsid w:val="00FD18E5"/>
    <w:rsid w:val="00FD22E3"/>
    <w:rsid w:val="00FD28A4"/>
    <w:rsid w:val="00FD29B1"/>
    <w:rsid w:val="00FD2B2B"/>
    <w:rsid w:val="00FD2E2D"/>
    <w:rsid w:val="00FD327C"/>
    <w:rsid w:val="00FD4595"/>
    <w:rsid w:val="00FD462A"/>
    <w:rsid w:val="00FD4C3C"/>
    <w:rsid w:val="00FD4CCA"/>
    <w:rsid w:val="00FD4ECA"/>
    <w:rsid w:val="00FD5910"/>
    <w:rsid w:val="00FD5920"/>
    <w:rsid w:val="00FD5A63"/>
    <w:rsid w:val="00FD5CA8"/>
    <w:rsid w:val="00FD616B"/>
    <w:rsid w:val="00FD6390"/>
    <w:rsid w:val="00FD67B1"/>
    <w:rsid w:val="00FD69E3"/>
    <w:rsid w:val="00FD6C42"/>
    <w:rsid w:val="00FD6FD4"/>
    <w:rsid w:val="00FD704A"/>
    <w:rsid w:val="00FD76F1"/>
    <w:rsid w:val="00FD7907"/>
    <w:rsid w:val="00FD7B52"/>
    <w:rsid w:val="00FD7FD9"/>
    <w:rsid w:val="00FE0218"/>
    <w:rsid w:val="00FE0501"/>
    <w:rsid w:val="00FE0A1D"/>
    <w:rsid w:val="00FE0FFB"/>
    <w:rsid w:val="00FE16FC"/>
    <w:rsid w:val="00FE19DE"/>
    <w:rsid w:val="00FE2170"/>
    <w:rsid w:val="00FE231D"/>
    <w:rsid w:val="00FE2460"/>
    <w:rsid w:val="00FE2BF0"/>
    <w:rsid w:val="00FE2E5D"/>
    <w:rsid w:val="00FE3E8D"/>
    <w:rsid w:val="00FE4188"/>
    <w:rsid w:val="00FE49BB"/>
    <w:rsid w:val="00FE5A9F"/>
    <w:rsid w:val="00FE5D06"/>
    <w:rsid w:val="00FE6251"/>
    <w:rsid w:val="00FE69E7"/>
    <w:rsid w:val="00FE6BBC"/>
    <w:rsid w:val="00FE713B"/>
    <w:rsid w:val="00FF0513"/>
    <w:rsid w:val="00FF06F5"/>
    <w:rsid w:val="00FF0BED"/>
    <w:rsid w:val="00FF10BA"/>
    <w:rsid w:val="00FF16DD"/>
    <w:rsid w:val="00FF206C"/>
    <w:rsid w:val="00FF22E2"/>
    <w:rsid w:val="00FF2617"/>
    <w:rsid w:val="00FF2A04"/>
    <w:rsid w:val="00FF2B20"/>
    <w:rsid w:val="00FF305E"/>
    <w:rsid w:val="00FF346F"/>
    <w:rsid w:val="00FF3BFF"/>
    <w:rsid w:val="00FF470E"/>
    <w:rsid w:val="00FF4D1F"/>
    <w:rsid w:val="00FF4EE5"/>
    <w:rsid w:val="00FF55F6"/>
    <w:rsid w:val="00FF5793"/>
    <w:rsid w:val="00FF67F6"/>
    <w:rsid w:val="00FF6CC8"/>
    <w:rsid w:val="00FF6D8F"/>
    <w:rsid w:val="00FF6EA4"/>
    <w:rsid w:val="00FF74F2"/>
    <w:rsid w:val="00FF775D"/>
    <w:rsid w:val="00FF7AB3"/>
    <w:rsid w:val="010D2D94"/>
    <w:rsid w:val="0153D6ED"/>
    <w:rsid w:val="01A74A24"/>
    <w:rsid w:val="020E3EF8"/>
    <w:rsid w:val="020E677A"/>
    <w:rsid w:val="022666BF"/>
    <w:rsid w:val="022CD405"/>
    <w:rsid w:val="02307BFC"/>
    <w:rsid w:val="02CEB125"/>
    <w:rsid w:val="034BAD60"/>
    <w:rsid w:val="0450E92F"/>
    <w:rsid w:val="04CAEFE5"/>
    <w:rsid w:val="06613E1C"/>
    <w:rsid w:val="06971711"/>
    <w:rsid w:val="06E4DF34"/>
    <w:rsid w:val="07888E19"/>
    <w:rsid w:val="07BA73DF"/>
    <w:rsid w:val="07BCCC39"/>
    <w:rsid w:val="081D5CF5"/>
    <w:rsid w:val="08440E65"/>
    <w:rsid w:val="08970080"/>
    <w:rsid w:val="0899431F"/>
    <w:rsid w:val="08A4C29D"/>
    <w:rsid w:val="094EC174"/>
    <w:rsid w:val="097AB1C1"/>
    <w:rsid w:val="099063C1"/>
    <w:rsid w:val="099B8F9C"/>
    <w:rsid w:val="09BF9868"/>
    <w:rsid w:val="0A47709B"/>
    <w:rsid w:val="0A5BF49F"/>
    <w:rsid w:val="0AFE47AA"/>
    <w:rsid w:val="0D62E7F3"/>
    <w:rsid w:val="0E00CF8E"/>
    <w:rsid w:val="0E2EF382"/>
    <w:rsid w:val="0EE7C850"/>
    <w:rsid w:val="0FAC7F8C"/>
    <w:rsid w:val="0FF9929C"/>
    <w:rsid w:val="10200C9A"/>
    <w:rsid w:val="103310C2"/>
    <w:rsid w:val="109CD8B0"/>
    <w:rsid w:val="109D6BC0"/>
    <w:rsid w:val="113AFFB5"/>
    <w:rsid w:val="114B2FAF"/>
    <w:rsid w:val="11600EB2"/>
    <w:rsid w:val="11B5345A"/>
    <w:rsid w:val="12381732"/>
    <w:rsid w:val="125DBEF3"/>
    <w:rsid w:val="127F8A4F"/>
    <w:rsid w:val="12D721CE"/>
    <w:rsid w:val="13282284"/>
    <w:rsid w:val="137EE7CB"/>
    <w:rsid w:val="13C9C7A8"/>
    <w:rsid w:val="141C4C8B"/>
    <w:rsid w:val="143C2AF0"/>
    <w:rsid w:val="1454146D"/>
    <w:rsid w:val="14C829E6"/>
    <w:rsid w:val="14EFAA1B"/>
    <w:rsid w:val="158AD3C4"/>
    <w:rsid w:val="15DFE0BC"/>
    <w:rsid w:val="15E014FD"/>
    <w:rsid w:val="16157D72"/>
    <w:rsid w:val="1698DA8F"/>
    <w:rsid w:val="16DAA06E"/>
    <w:rsid w:val="17671289"/>
    <w:rsid w:val="178CAD9D"/>
    <w:rsid w:val="17B45905"/>
    <w:rsid w:val="17B629C8"/>
    <w:rsid w:val="18CDF527"/>
    <w:rsid w:val="18FFF984"/>
    <w:rsid w:val="19084ED4"/>
    <w:rsid w:val="1920C703"/>
    <w:rsid w:val="192D47E0"/>
    <w:rsid w:val="196CAC6E"/>
    <w:rsid w:val="1973E6DD"/>
    <w:rsid w:val="198B62CA"/>
    <w:rsid w:val="19D6C3F5"/>
    <w:rsid w:val="19E1EC67"/>
    <w:rsid w:val="1A152C27"/>
    <w:rsid w:val="1AABA8E5"/>
    <w:rsid w:val="1B0E711F"/>
    <w:rsid w:val="1B4A4D5B"/>
    <w:rsid w:val="1B6D98EB"/>
    <w:rsid w:val="1BAB8F2B"/>
    <w:rsid w:val="1C4BF400"/>
    <w:rsid w:val="1C4DE22E"/>
    <w:rsid w:val="1CD043CA"/>
    <w:rsid w:val="1D707BBC"/>
    <w:rsid w:val="1E04038A"/>
    <w:rsid w:val="1E94571F"/>
    <w:rsid w:val="1F2E539F"/>
    <w:rsid w:val="1F926817"/>
    <w:rsid w:val="1FB9F3AE"/>
    <w:rsid w:val="1FE7C464"/>
    <w:rsid w:val="20215FEE"/>
    <w:rsid w:val="208C0DF5"/>
    <w:rsid w:val="2119A548"/>
    <w:rsid w:val="213F9320"/>
    <w:rsid w:val="217E3F5D"/>
    <w:rsid w:val="21823353"/>
    <w:rsid w:val="21829C34"/>
    <w:rsid w:val="21846B13"/>
    <w:rsid w:val="22309942"/>
    <w:rsid w:val="22884AFC"/>
    <w:rsid w:val="22990092"/>
    <w:rsid w:val="22D0AF9C"/>
    <w:rsid w:val="233D6AD5"/>
    <w:rsid w:val="2372C2AA"/>
    <w:rsid w:val="237D9326"/>
    <w:rsid w:val="23ED06E9"/>
    <w:rsid w:val="23F351B8"/>
    <w:rsid w:val="2411441E"/>
    <w:rsid w:val="247F5445"/>
    <w:rsid w:val="24CB00A1"/>
    <w:rsid w:val="2502224A"/>
    <w:rsid w:val="256FD467"/>
    <w:rsid w:val="258EC70D"/>
    <w:rsid w:val="26428BB9"/>
    <w:rsid w:val="26A05966"/>
    <w:rsid w:val="26C83201"/>
    <w:rsid w:val="26D185C7"/>
    <w:rsid w:val="26F63229"/>
    <w:rsid w:val="26F72D93"/>
    <w:rsid w:val="273ABFB5"/>
    <w:rsid w:val="2795A78B"/>
    <w:rsid w:val="27D309D6"/>
    <w:rsid w:val="285E547A"/>
    <w:rsid w:val="2898B498"/>
    <w:rsid w:val="28A4C9B5"/>
    <w:rsid w:val="28F81497"/>
    <w:rsid w:val="292DD85C"/>
    <w:rsid w:val="294929DE"/>
    <w:rsid w:val="29E5D378"/>
    <w:rsid w:val="29F382CF"/>
    <w:rsid w:val="2A0A9974"/>
    <w:rsid w:val="2A0BA22F"/>
    <w:rsid w:val="2A12E187"/>
    <w:rsid w:val="2A846CF2"/>
    <w:rsid w:val="2A866124"/>
    <w:rsid w:val="2AAA822B"/>
    <w:rsid w:val="2B28BE01"/>
    <w:rsid w:val="2C308D17"/>
    <w:rsid w:val="2C4C21D1"/>
    <w:rsid w:val="2C4CA518"/>
    <w:rsid w:val="2CB69A1E"/>
    <w:rsid w:val="2CDBD3B2"/>
    <w:rsid w:val="2CEB55B5"/>
    <w:rsid w:val="2DE719A6"/>
    <w:rsid w:val="2DED3529"/>
    <w:rsid w:val="2F3588D4"/>
    <w:rsid w:val="2F36E15A"/>
    <w:rsid w:val="2F4F7487"/>
    <w:rsid w:val="2F59F8F0"/>
    <w:rsid w:val="2F6C9539"/>
    <w:rsid w:val="2FE33CAE"/>
    <w:rsid w:val="3019C4F4"/>
    <w:rsid w:val="304C5F17"/>
    <w:rsid w:val="304D4868"/>
    <w:rsid w:val="30F3717A"/>
    <w:rsid w:val="30FC4964"/>
    <w:rsid w:val="31FF11C2"/>
    <w:rsid w:val="337D38E3"/>
    <w:rsid w:val="33AFC001"/>
    <w:rsid w:val="3427877A"/>
    <w:rsid w:val="3442CF90"/>
    <w:rsid w:val="3445C962"/>
    <w:rsid w:val="346CD1B8"/>
    <w:rsid w:val="34DA4C24"/>
    <w:rsid w:val="35E83D83"/>
    <w:rsid w:val="361D8525"/>
    <w:rsid w:val="374CB2A3"/>
    <w:rsid w:val="378D731C"/>
    <w:rsid w:val="37B9BA1D"/>
    <w:rsid w:val="37C8A55E"/>
    <w:rsid w:val="37FCE7DD"/>
    <w:rsid w:val="3835035A"/>
    <w:rsid w:val="386FF2F3"/>
    <w:rsid w:val="38E77478"/>
    <w:rsid w:val="390CD6D8"/>
    <w:rsid w:val="39BCA566"/>
    <w:rsid w:val="3A6E49B6"/>
    <w:rsid w:val="3AEF4E27"/>
    <w:rsid w:val="3B37ED53"/>
    <w:rsid w:val="3BB776C1"/>
    <w:rsid w:val="3C13511C"/>
    <w:rsid w:val="3C403656"/>
    <w:rsid w:val="3C6DB434"/>
    <w:rsid w:val="3CBA795B"/>
    <w:rsid w:val="3D0E7854"/>
    <w:rsid w:val="3D230389"/>
    <w:rsid w:val="3D245626"/>
    <w:rsid w:val="3D61D964"/>
    <w:rsid w:val="3D954D62"/>
    <w:rsid w:val="3E40414A"/>
    <w:rsid w:val="3F10F7C7"/>
    <w:rsid w:val="4046DA00"/>
    <w:rsid w:val="408ECEDC"/>
    <w:rsid w:val="40F14BF5"/>
    <w:rsid w:val="413597D3"/>
    <w:rsid w:val="41C5038E"/>
    <w:rsid w:val="41C9A157"/>
    <w:rsid w:val="41E6BA93"/>
    <w:rsid w:val="41FC735B"/>
    <w:rsid w:val="421C841F"/>
    <w:rsid w:val="425BDAB1"/>
    <w:rsid w:val="42618AF7"/>
    <w:rsid w:val="42F9A024"/>
    <w:rsid w:val="436D8F30"/>
    <w:rsid w:val="4381DFBA"/>
    <w:rsid w:val="43A060DE"/>
    <w:rsid w:val="43A89D90"/>
    <w:rsid w:val="4402C80A"/>
    <w:rsid w:val="44F0786F"/>
    <w:rsid w:val="45091270"/>
    <w:rsid w:val="45BB1CF6"/>
    <w:rsid w:val="46A313F8"/>
    <w:rsid w:val="46CA8329"/>
    <w:rsid w:val="4807A04F"/>
    <w:rsid w:val="48320E13"/>
    <w:rsid w:val="487DAD22"/>
    <w:rsid w:val="488A6ADA"/>
    <w:rsid w:val="48C0500F"/>
    <w:rsid w:val="49AB6830"/>
    <w:rsid w:val="4A00B0CD"/>
    <w:rsid w:val="4A165AC6"/>
    <w:rsid w:val="4A741459"/>
    <w:rsid w:val="4ABF0126"/>
    <w:rsid w:val="4B14A6CE"/>
    <w:rsid w:val="4B1FFACD"/>
    <w:rsid w:val="4BFFAE0D"/>
    <w:rsid w:val="4C32DEE2"/>
    <w:rsid w:val="4CB5921F"/>
    <w:rsid w:val="4CFEAA96"/>
    <w:rsid w:val="4D67067A"/>
    <w:rsid w:val="4D7C3AE4"/>
    <w:rsid w:val="4D8B557B"/>
    <w:rsid w:val="4D9294FC"/>
    <w:rsid w:val="4D9AF3A7"/>
    <w:rsid w:val="4DC15BF0"/>
    <w:rsid w:val="4DE0A90E"/>
    <w:rsid w:val="4F5A0FAF"/>
    <w:rsid w:val="4F955067"/>
    <w:rsid w:val="507C0F35"/>
    <w:rsid w:val="5110B4E4"/>
    <w:rsid w:val="5191E6BC"/>
    <w:rsid w:val="519E1DAB"/>
    <w:rsid w:val="51BAFC05"/>
    <w:rsid w:val="534429B1"/>
    <w:rsid w:val="53D6566E"/>
    <w:rsid w:val="541DC4D9"/>
    <w:rsid w:val="551C11AC"/>
    <w:rsid w:val="563A8F4E"/>
    <w:rsid w:val="563C7A47"/>
    <w:rsid w:val="565D6178"/>
    <w:rsid w:val="56670BF5"/>
    <w:rsid w:val="566E3087"/>
    <w:rsid w:val="57A8F0CF"/>
    <w:rsid w:val="57D20C4E"/>
    <w:rsid w:val="58214792"/>
    <w:rsid w:val="58A381C5"/>
    <w:rsid w:val="59704DE2"/>
    <w:rsid w:val="598E72B2"/>
    <w:rsid w:val="59A72779"/>
    <w:rsid w:val="5AE13E40"/>
    <w:rsid w:val="5B24D3AE"/>
    <w:rsid w:val="5B404643"/>
    <w:rsid w:val="5C19371B"/>
    <w:rsid w:val="5C289F9F"/>
    <w:rsid w:val="5C4F551C"/>
    <w:rsid w:val="5C5E66EB"/>
    <w:rsid w:val="5CD35A9A"/>
    <w:rsid w:val="5D475FE6"/>
    <w:rsid w:val="5DA68606"/>
    <w:rsid w:val="5DB45F4C"/>
    <w:rsid w:val="5DF1C28A"/>
    <w:rsid w:val="5E234322"/>
    <w:rsid w:val="5E7F4DDB"/>
    <w:rsid w:val="5EE5810C"/>
    <w:rsid w:val="5F281C53"/>
    <w:rsid w:val="5F46B5EB"/>
    <w:rsid w:val="5FB154B9"/>
    <w:rsid w:val="601EA13E"/>
    <w:rsid w:val="60507B6C"/>
    <w:rsid w:val="6059EDBE"/>
    <w:rsid w:val="60B100A4"/>
    <w:rsid w:val="60CE1A1E"/>
    <w:rsid w:val="61005901"/>
    <w:rsid w:val="61356B17"/>
    <w:rsid w:val="620E3ABE"/>
    <w:rsid w:val="62354D45"/>
    <w:rsid w:val="629E64FD"/>
    <w:rsid w:val="62C6E2A1"/>
    <w:rsid w:val="62F5141E"/>
    <w:rsid w:val="63435EDD"/>
    <w:rsid w:val="6435E006"/>
    <w:rsid w:val="645C6448"/>
    <w:rsid w:val="64A94A03"/>
    <w:rsid w:val="64D4EE0C"/>
    <w:rsid w:val="64F9A07C"/>
    <w:rsid w:val="66BB811C"/>
    <w:rsid w:val="66CDE820"/>
    <w:rsid w:val="66D94E05"/>
    <w:rsid w:val="671DF328"/>
    <w:rsid w:val="673CC58B"/>
    <w:rsid w:val="678955A9"/>
    <w:rsid w:val="67A1F846"/>
    <w:rsid w:val="68AAEFB9"/>
    <w:rsid w:val="69FCA33D"/>
    <w:rsid w:val="6A9C85E2"/>
    <w:rsid w:val="6AE79E30"/>
    <w:rsid w:val="6BEF0A73"/>
    <w:rsid w:val="6C266D19"/>
    <w:rsid w:val="6C8265FA"/>
    <w:rsid w:val="6CE1373B"/>
    <w:rsid w:val="6CEC8B7C"/>
    <w:rsid w:val="6D5634E6"/>
    <w:rsid w:val="6F872E2F"/>
    <w:rsid w:val="6FB45E71"/>
    <w:rsid w:val="70145565"/>
    <w:rsid w:val="7020A0F7"/>
    <w:rsid w:val="70984C59"/>
    <w:rsid w:val="70A2A244"/>
    <w:rsid w:val="70DC247E"/>
    <w:rsid w:val="70FA0C94"/>
    <w:rsid w:val="7181CD27"/>
    <w:rsid w:val="719DD8D0"/>
    <w:rsid w:val="71BC667D"/>
    <w:rsid w:val="7210ACD4"/>
    <w:rsid w:val="7211B53A"/>
    <w:rsid w:val="723788DB"/>
    <w:rsid w:val="72A06B28"/>
    <w:rsid w:val="7342CFFF"/>
    <w:rsid w:val="737B6714"/>
    <w:rsid w:val="7399D5A6"/>
    <w:rsid w:val="742340AB"/>
    <w:rsid w:val="744C8ACD"/>
    <w:rsid w:val="7460FA6F"/>
    <w:rsid w:val="747B1D2A"/>
    <w:rsid w:val="74AF06FA"/>
    <w:rsid w:val="74E00BE5"/>
    <w:rsid w:val="771C313A"/>
    <w:rsid w:val="771D359A"/>
    <w:rsid w:val="775A7878"/>
    <w:rsid w:val="7798DF60"/>
    <w:rsid w:val="77CBAFF9"/>
    <w:rsid w:val="77D18793"/>
    <w:rsid w:val="77E5214C"/>
    <w:rsid w:val="78A1A7CC"/>
    <w:rsid w:val="797AD8A8"/>
    <w:rsid w:val="799861C6"/>
    <w:rsid w:val="799BEFA6"/>
    <w:rsid w:val="7A49D020"/>
    <w:rsid w:val="7B3F723C"/>
    <w:rsid w:val="7B5F7217"/>
    <w:rsid w:val="7BCE83D4"/>
    <w:rsid w:val="7C38E12E"/>
    <w:rsid w:val="7C4361E9"/>
    <w:rsid w:val="7CA92F6D"/>
    <w:rsid w:val="7D524CA7"/>
    <w:rsid w:val="7DCC648A"/>
    <w:rsid w:val="7EE7A6E2"/>
    <w:rsid w:val="7F1B07C3"/>
    <w:rsid w:val="7FB3E8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B6FD7"/>
  <w15:chartTrackingRefBased/>
  <w15:docId w15:val="{87EF5A88-633A-4393-8C14-7055A6F6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D2C43"/>
    <w:pPr>
      <w:spacing w:line="312" w:lineRule="auto"/>
    </w:pPr>
    <w:rPr>
      <w:rFonts w:ascii="Arial" w:eastAsiaTheme="minorEastAsia" w:hAnsi="Arial"/>
      <w:color w:val="4D4D4C"/>
      <w:sz w:val="20"/>
      <w:szCs w:val="24"/>
      <w:lang w:eastAsia="ja-JP"/>
    </w:rPr>
  </w:style>
  <w:style w:type="paragraph" w:styleId="Heading1">
    <w:name w:val="heading 1"/>
    <w:basedOn w:val="Cover-1heading"/>
    <w:next w:val="Normal"/>
    <w:link w:val="Heading1Char"/>
    <w:uiPriority w:val="9"/>
    <w:qFormat/>
    <w:rsid w:val="00227853"/>
    <w:pPr>
      <w:outlineLvl w:val="0"/>
    </w:pPr>
    <w:rPr>
      <w:color w:val="0090D4"/>
    </w:rPr>
  </w:style>
  <w:style w:type="paragraph" w:styleId="Heading2">
    <w:name w:val="heading 2"/>
    <w:basedOn w:val="Normal"/>
    <w:next w:val="Normal"/>
    <w:link w:val="Heading2Char"/>
    <w:uiPriority w:val="9"/>
    <w:unhideWhenUsed/>
    <w:qFormat/>
    <w:rsid w:val="000B3B4C"/>
    <w:pPr>
      <w:spacing w:before="480" w:after="180" w:line="240" w:lineRule="auto"/>
      <w:outlineLvl w:val="1"/>
    </w:pPr>
    <w:rPr>
      <w:rFonts w:ascii="Ubuntu" w:hAnsi="Ubuntu" w:cs="Arial (Body CS)"/>
      <w:color w:val="0082CA" w:themeColor="text1"/>
      <w:sz w:val="40"/>
      <w:szCs w:val="36"/>
    </w:rPr>
  </w:style>
  <w:style w:type="paragraph" w:styleId="Heading3">
    <w:name w:val="heading 3"/>
    <w:basedOn w:val="Normal"/>
    <w:link w:val="Heading3Char"/>
    <w:uiPriority w:val="9"/>
    <w:qFormat/>
    <w:rsid w:val="008B01FE"/>
    <w:pPr>
      <w:spacing w:before="420" w:after="240" w:line="240" w:lineRule="auto"/>
      <w:outlineLvl w:val="2"/>
    </w:pPr>
    <w:rPr>
      <w:rFonts w:ascii="Ubuntu" w:hAnsi="Ubuntu" w:cs="Arial (Body CS)"/>
      <w:color w:val="0082CA" w:themeColor="text1"/>
      <w:sz w:val="30"/>
    </w:rPr>
  </w:style>
  <w:style w:type="paragraph" w:styleId="Heading4">
    <w:name w:val="heading 4"/>
    <w:basedOn w:val="Normal"/>
    <w:next w:val="Normal"/>
    <w:link w:val="Heading4Char"/>
    <w:uiPriority w:val="9"/>
    <w:unhideWhenUsed/>
    <w:qFormat/>
    <w:rsid w:val="0067293F"/>
    <w:pPr>
      <w:keepNext/>
      <w:keepLines/>
      <w:spacing w:after="40"/>
      <w:outlineLvl w:val="3"/>
    </w:pPr>
    <w:rPr>
      <w:rFonts w:ascii="Ubuntu" w:eastAsiaTheme="majorEastAsia" w:hAnsi="Ubuntu" w:cs="Arial (Headings CS)"/>
      <w:iCs/>
      <w:color w:val="0082CA" w:themeColor="text1"/>
      <w:sz w:val="24"/>
    </w:rPr>
  </w:style>
  <w:style w:type="paragraph" w:styleId="Heading5">
    <w:name w:val="heading 5"/>
    <w:basedOn w:val="Normal"/>
    <w:next w:val="Normal"/>
    <w:link w:val="Heading5Char"/>
    <w:uiPriority w:val="9"/>
    <w:unhideWhenUsed/>
    <w:qFormat/>
    <w:rsid w:val="00204B44"/>
    <w:pPr>
      <w:keepNext/>
      <w:keepLines/>
      <w:spacing w:before="80" w:after="0"/>
      <w:outlineLvl w:val="4"/>
    </w:pPr>
    <w:rPr>
      <w:rFonts w:asciiTheme="majorHAnsi" w:eastAsiaTheme="majorEastAsia" w:hAnsiTheme="majorHAnsi" w:cstheme="majorBidi"/>
      <w:color w:val="0082CA" w:themeColor="text1"/>
    </w:rPr>
  </w:style>
  <w:style w:type="paragraph" w:styleId="Heading6">
    <w:name w:val="heading 6"/>
    <w:basedOn w:val="Normal"/>
    <w:next w:val="Normal"/>
    <w:link w:val="Heading6Char"/>
    <w:uiPriority w:val="9"/>
    <w:unhideWhenUsed/>
    <w:qFormat/>
    <w:rsid w:val="000073E2"/>
    <w:pPr>
      <w:keepNext/>
      <w:keepLines/>
      <w:spacing w:before="80" w:after="0"/>
      <w:outlineLvl w:val="5"/>
    </w:pPr>
    <w:rPr>
      <w:rFonts w:asciiTheme="majorHAnsi" w:eastAsiaTheme="majorEastAsia" w:hAnsiTheme="majorHAnsi" w:cstheme="majorBidi"/>
      <w:b/>
      <w:color w:val="4C4C4C"/>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01FE"/>
    <w:rPr>
      <w:rFonts w:ascii="Ubuntu" w:eastAsiaTheme="minorEastAsia" w:hAnsi="Ubuntu" w:cs="Arial (Body CS)"/>
      <w:color w:val="0082CA" w:themeColor="text1"/>
      <w:sz w:val="30"/>
      <w:szCs w:val="24"/>
      <w:lang w:eastAsia="ja-JP"/>
    </w:rPr>
  </w:style>
  <w:style w:type="character" w:styleId="Hyperlink">
    <w:name w:val="Hyperlink"/>
    <w:aliases w:val="Contents - hyperlink"/>
    <w:basedOn w:val="DefaultParagraphFont"/>
    <w:uiPriority w:val="99"/>
    <w:unhideWhenUsed/>
    <w:rsid w:val="008171DA"/>
    <w:rPr>
      <w:color w:val="96896C" w:themeColor="hyperlink"/>
      <w:u w:val="single"/>
    </w:rPr>
  </w:style>
  <w:style w:type="character" w:customStyle="1" w:styleId="Heading1Char">
    <w:name w:val="Heading 1 Char"/>
    <w:basedOn w:val="DefaultParagraphFont"/>
    <w:link w:val="Heading1"/>
    <w:uiPriority w:val="9"/>
    <w:rsid w:val="00227853"/>
    <w:rPr>
      <w:rFonts w:ascii="Ubuntu" w:eastAsia="Ubuntu" w:hAnsi="Ubuntu" w:cs="Ubuntu"/>
      <w:b/>
      <w:bCs/>
      <w:color w:val="0090D4"/>
      <w:sz w:val="90"/>
      <w:szCs w:val="24"/>
      <w:lang w:eastAsia="ja-JP"/>
    </w:rPr>
  </w:style>
  <w:style w:type="character" w:customStyle="1" w:styleId="Heading2Char">
    <w:name w:val="Heading 2 Char"/>
    <w:basedOn w:val="DefaultParagraphFont"/>
    <w:link w:val="Heading2"/>
    <w:uiPriority w:val="9"/>
    <w:rsid w:val="000B3B4C"/>
    <w:rPr>
      <w:rFonts w:ascii="Ubuntu" w:eastAsiaTheme="minorEastAsia" w:hAnsi="Ubuntu" w:cs="Arial (Body CS)"/>
      <w:color w:val="0082CA" w:themeColor="text1"/>
      <w:sz w:val="40"/>
      <w:szCs w:val="36"/>
      <w:lang w:eastAsia="ja-JP"/>
    </w:rPr>
  </w:style>
  <w:style w:type="character" w:customStyle="1" w:styleId="Heading4Char">
    <w:name w:val="Heading 4 Char"/>
    <w:basedOn w:val="DefaultParagraphFont"/>
    <w:link w:val="Heading4"/>
    <w:uiPriority w:val="9"/>
    <w:rsid w:val="0067293F"/>
    <w:rPr>
      <w:rFonts w:ascii="Ubuntu" w:eastAsiaTheme="majorEastAsia" w:hAnsi="Ubuntu" w:cs="Arial (Headings CS)"/>
      <w:iCs/>
      <w:color w:val="0082CA" w:themeColor="text1"/>
      <w:sz w:val="24"/>
      <w:szCs w:val="24"/>
      <w:lang w:eastAsia="ja-JP"/>
    </w:rPr>
  </w:style>
  <w:style w:type="paragraph" w:customStyle="1" w:styleId="Diagram-body-centred-white">
    <w:name w:val="Diagram - body - centred - white"/>
    <w:basedOn w:val="Normal"/>
    <w:qFormat/>
    <w:rsid w:val="003A70D9"/>
    <w:pPr>
      <w:spacing w:after="0" w:line="240" w:lineRule="auto"/>
      <w:jc w:val="center"/>
    </w:pPr>
    <w:rPr>
      <w:rFonts w:asciiTheme="majorHAnsi" w:hAnsiTheme="majorHAnsi"/>
      <w:color w:val="FFFFFF" w:themeColor="background1"/>
      <w:szCs w:val="18"/>
    </w:rPr>
  </w:style>
  <w:style w:type="paragraph" w:styleId="Footer">
    <w:name w:val="footer"/>
    <w:basedOn w:val="Normal"/>
    <w:link w:val="FooterChar"/>
    <w:uiPriority w:val="99"/>
    <w:unhideWhenUsed/>
    <w:rsid w:val="007D2C43"/>
    <w:pPr>
      <w:tabs>
        <w:tab w:val="center" w:pos="4513"/>
        <w:tab w:val="right" w:pos="9026"/>
      </w:tabs>
      <w:spacing w:after="240" w:line="288" w:lineRule="auto"/>
    </w:pPr>
    <w:rPr>
      <w:sz w:val="18"/>
    </w:rPr>
  </w:style>
  <w:style w:type="character" w:customStyle="1" w:styleId="FooterChar">
    <w:name w:val="Footer Char"/>
    <w:basedOn w:val="DefaultParagraphFont"/>
    <w:link w:val="Footer"/>
    <w:uiPriority w:val="99"/>
    <w:rsid w:val="007D2C43"/>
    <w:rPr>
      <w:rFonts w:ascii="Arial" w:eastAsiaTheme="minorEastAsia" w:hAnsi="Arial"/>
      <w:color w:val="4D4D4C"/>
      <w:sz w:val="18"/>
      <w:szCs w:val="24"/>
      <w:lang w:eastAsia="ja-JP"/>
    </w:rPr>
  </w:style>
  <w:style w:type="paragraph" w:customStyle="1" w:styleId="Footnotes">
    <w:name w:val="Footnotes"/>
    <w:basedOn w:val="Footer"/>
    <w:qFormat/>
    <w:rsid w:val="00AA2A7D"/>
    <w:pPr>
      <w:jc w:val="right"/>
    </w:pPr>
  </w:style>
  <w:style w:type="character" w:customStyle="1" w:styleId="Heading5Char">
    <w:name w:val="Heading 5 Char"/>
    <w:basedOn w:val="DefaultParagraphFont"/>
    <w:link w:val="Heading5"/>
    <w:uiPriority w:val="9"/>
    <w:rsid w:val="00204B44"/>
    <w:rPr>
      <w:rFonts w:asciiTheme="majorHAnsi" w:eastAsiaTheme="majorEastAsia" w:hAnsiTheme="majorHAnsi" w:cstheme="majorBidi"/>
      <w:color w:val="0082CA" w:themeColor="text1"/>
      <w:sz w:val="24"/>
      <w:szCs w:val="24"/>
      <w:lang w:eastAsia="ja-JP"/>
    </w:rPr>
  </w:style>
  <w:style w:type="paragraph" w:styleId="Caption">
    <w:name w:val="caption"/>
    <w:basedOn w:val="Normal"/>
    <w:next w:val="Normal"/>
    <w:uiPriority w:val="35"/>
    <w:unhideWhenUsed/>
    <w:qFormat/>
    <w:rsid w:val="007D4AFD"/>
    <w:pPr>
      <w:spacing w:before="240" w:after="40"/>
    </w:pPr>
    <w:rPr>
      <w:b/>
      <w:iCs/>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0073E2"/>
    <w:rPr>
      <w:rFonts w:asciiTheme="majorHAnsi" w:eastAsiaTheme="majorEastAsia" w:hAnsiTheme="majorHAnsi" w:cstheme="majorBidi"/>
      <w:b/>
      <w:color w:val="4C4C4C"/>
      <w:szCs w:val="24"/>
      <w:lang w:eastAsia="ja-JP"/>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customStyle="1" w:styleId="Diagram-heading-bold">
    <w:name w:val="Diagram - heading - bold"/>
    <w:basedOn w:val="Normal"/>
    <w:qFormat/>
    <w:rsid w:val="003A70D9"/>
    <w:pPr>
      <w:spacing w:after="60" w:line="240" w:lineRule="auto"/>
    </w:pPr>
    <w:rPr>
      <w:rFonts w:asciiTheme="minorHAnsi" w:eastAsia="+mn-ea" w:hAnsiTheme="minorHAnsi" w:cs="+mn-cs"/>
      <w:b/>
      <w:bCs/>
      <w:color w:val="0082CA"/>
      <w:kern w:val="24"/>
      <w:szCs w:val="22"/>
      <w:lang w:eastAsia="en-GB"/>
    </w:rPr>
  </w:style>
  <w:style w:type="paragraph" w:customStyle="1" w:styleId="Contents-2sectionlist-sublist">
    <w:name w:val="Contents - 2. section list - sub list"/>
    <w:basedOn w:val="Normal"/>
    <w:qFormat/>
    <w:rsid w:val="000F0DAA"/>
    <w:pPr>
      <w:tabs>
        <w:tab w:val="left" w:pos="600"/>
        <w:tab w:val="right" w:leader="dot" w:pos="9060"/>
      </w:tabs>
      <w:spacing w:after="0" w:line="276" w:lineRule="auto"/>
      <w:ind w:left="340"/>
    </w:pPr>
  </w:style>
  <w:style w:type="paragraph" w:customStyle="1" w:styleId="diagramheading">
    <w:name w:val="diagram  heading"/>
    <w:basedOn w:val="Normal"/>
    <w:qFormat/>
    <w:rsid w:val="006F236B"/>
    <w:pPr>
      <w:spacing w:after="60" w:line="240" w:lineRule="auto"/>
    </w:pPr>
    <w:rPr>
      <w:rFonts w:asciiTheme="minorHAnsi" w:eastAsia="+mn-ea" w:hAnsiTheme="minorHAnsi" w:cs="+mn-cs"/>
      <w:b/>
      <w:bCs/>
      <w:color w:val="0082CA"/>
      <w:kern w:val="24"/>
      <w:szCs w:val="22"/>
      <w:lang w:eastAsia="en-GB"/>
    </w:rPr>
  </w:style>
  <w:style w:type="numbering" w:customStyle="1" w:styleId="CurrentList1">
    <w:name w:val="Current List1"/>
    <w:uiPriority w:val="99"/>
    <w:rsid w:val="004F08BC"/>
    <w:pPr>
      <w:numPr>
        <w:numId w:val="3"/>
      </w:numPr>
    </w:pPr>
  </w:style>
  <w:style w:type="paragraph" w:customStyle="1" w:styleId="Diagram-body">
    <w:name w:val="Diagram - body"/>
    <w:basedOn w:val="Normal"/>
    <w:qFormat/>
    <w:rsid w:val="006F236B"/>
    <w:pPr>
      <w:tabs>
        <w:tab w:val="left" w:pos="680"/>
      </w:tabs>
      <w:suppressAutoHyphens/>
      <w:autoSpaceDE w:val="0"/>
      <w:autoSpaceDN w:val="0"/>
      <w:adjustRightInd w:val="0"/>
      <w:spacing w:after="57" w:line="220" w:lineRule="atLeast"/>
      <w:textAlignment w:val="center"/>
    </w:pPr>
    <w:rPr>
      <w:rFonts w:eastAsiaTheme="minorHAnsi" w:cs="Arial"/>
      <w:color w:val="575756"/>
      <w:sz w:val="18"/>
      <w:szCs w:val="18"/>
      <w:lang w:eastAsia="en-US"/>
    </w:rPr>
  </w:style>
  <w:style w:type="paragraph" w:customStyle="1" w:styleId="Heading2-Numbered">
    <w:name w:val="Heading 2 - Numbered"/>
    <w:basedOn w:val="Heading2"/>
    <w:qFormat/>
    <w:rsid w:val="00B50437"/>
    <w:pPr>
      <w:numPr>
        <w:numId w:val="1"/>
      </w:numPr>
      <w:spacing w:after="240"/>
      <w:ind w:left="425" w:hanging="425"/>
    </w:pPr>
  </w:style>
  <w:style w:type="paragraph" w:customStyle="1" w:styleId="Normal-ABClist-text">
    <w:name w:val="Normal - ABC list - text"/>
    <w:basedOn w:val="Normal"/>
    <w:qFormat/>
    <w:rsid w:val="00B50437"/>
    <w:pPr>
      <w:numPr>
        <w:numId w:val="5"/>
      </w:numPr>
    </w:pPr>
    <w:rPr>
      <w:rFonts w:cs="Arial"/>
    </w:rPr>
  </w:style>
  <w:style w:type="paragraph" w:styleId="Header">
    <w:name w:val="header"/>
    <w:basedOn w:val="Normal"/>
    <w:link w:val="HeaderChar"/>
    <w:uiPriority w:val="99"/>
    <w:unhideWhenUsed/>
    <w:rsid w:val="00AA2A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A7D"/>
    <w:rPr>
      <w:rFonts w:ascii="Arial" w:eastAsiaTheme="minorEastAsia" w:hAnsi="Arial"/>
      <w:color w:val="4D4D4C"/>
      <w:sz w:val="20"/>
      <w:szCs w:val="24"/>
      <w:lang w:eastAsia="ja-JP"/>
    </w:rPr>
  </w:style>
  <w:style w:type="paragraph" w:customStyle="1" w:styleId="Pagenumbering">
    <w:name w:val="Page numbering"/>
    <w:basedOn w:val="Footer"/>
    <w:qFormat/>
    <w:rsid w:val="00AA2A7D"/>
    <w:pPr>
      <w:jc w:val="center"/>
    </w:pPr>
    <w:rPr>
      <w:color w:val="0082CA" w:themeColor="text1"/>
    </w:rPr>
  </w:style>
  <w:style w:type="table" w:styleId="TableGrid">
    <w:name w:val="Table Grid"/>
    <w:aliases w:val="AHDB Table 1"/>
    <w:basedOn w:val="TableNormal"/>
    <w:uiPriority w:val="39"/>
    <w:rsid w:val="007D2C43"/>
    <w:pPr>
      <w:keepLines/>
      <w:snapToGrid w:val="0"/>
      <w:spacing w:beforeLines="60" w:before="60" w:afterLines="60" w:after="60" w:line="200" w:lineRule="exact"/>
    </w:pPr>
    <w:rPr>
      <w:rFonts w:cs="Arial (Body CS)"/>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vAlign w:val="center"/>
    </w:tcPr>
    <w:tblStylePr w:type="firstRow">
      <w:pPr>
        <w:jc w:val="left"/>
      </w:pPr>
      <w:rPr>
        <w:rFonts w:asciiTheme="minorHAnsi" w:hAnsiTheme="minorHAnsi"/>
        <w:b/>
        <w:color w:val="C1E8FF" w:themeColor="text1" w:themeTint="33"/>
        <w:sz w:val="20"/>
      </w:rPr>
      <w:tblPr/>
      <w:trPr>
        <w:tblHeader/>
      </w:trPr>
      <w:tcPr>
        <w:shd w:val="clear" w:color="auto" w:fill="E9F4FC"/>
        <w:vAlign w:val="top"/>
      </w:tcPr>
    </w:tblStylePr>
    <w:tblStylePr w:type="firstCol">
      <w:rPr>
        <w:rFonts w:asciiTheme="minorHAnsi" w:hAnsiTheme="minorHAnsi"/>
        <w:b/>
        <w:sz w:val="20"/>
      </w:rPr>
    </w:tblStyle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table" w:customStyle="1" w:styleId="AHDBtable2">
    <w:name w:val="AHDB table 2"/>
    <w:basedOn w:val="TableNormal"/>
    <w:uiPriority w:val="99"/>
    <w:rsid w:val="008707E8"/>
    <w:pPr>
      <w:spacing w:after="0" w:line="240" w:lineRule="auto"/>
    </w:pPr>
    <w:tblPr/>
    <w:tblStylePr w:type="firstRow">
      <w:rPr>
        <w:rFonts w:asciiTheme="minorHAnsi" w:hAnsiTheme="minorHAnsi"/>
        <w:b/>
        <w:sz w:val="22"/>
      </w:rPr>
    </w:tblStylePr>
  </w:style>
  <w:style w:type="character" w:styleId="CommentReference">
    <w:name w:val="annotation reference"/>
    <w:basedOn w:val="DefaultParagraphFont"/>
    <w:uiPriority w:val="99"/>
    <w:semiHidden/>
    <w:unhideWhenUsed/>
    <w:rsid w:val="00C05002"/>
    <w:rPr>
      <w:sz w:val="16"/>
      <w:szCs w:val="16"/>
    </w:rPr>
  </w:style>
  <w:style w:type="table" w:styleId="TableGridLight">
    <w:name w:val="Grid Table Light"/>
    <w:basedOn w:val="TableNormal"/>
    <w:uiPriority w:val="40"/>
    <w:rsid w:val="005F7674"/>
    <w:pPr>
      <w:spacing w:after="0" w:line="240" w:lineRule="auto"/>
    </w:pPr>
    <w:tblPr>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Pr>
    <w:trPr>
      <w:cantSplit/>
      <w:tblHeader/>
    </w:trPr>
    <w:tcPr>
      <w:shd w:val="clear" w:color="auto" w:fill="auto"/>
      <w:vAlign w:val="center"/>
    </w:tcPr>
    <w:tblStylePr w:type="firstRow">
      <w:tblPr/>
      <w:tcPr>
        <w:vAlign w:val="top"/>
      </w:tcPr>
    </w:tblStylePr>
  </w:style>
  <w:style w:type="paragraph" w:styleId="CommentSubject">
    <w:name w:val="annotation subject"/>
    <w:basedOn w:val="Normal"/>
    <w:next w:val="Normal"/>
    <w:link w:val="CommentSubjectChar"/>
    <w:uiPriority w:val="99"/>
    <w:semiHidden/>
    <w:unhideWhenUsed/>
    <w:rsid w:val="00DA4124"/>
    <w:pPr>
      <w:spacing w:line="240" w:lineRule="auto"/>
    </w:pPr>
    <w:rPr>
      <w:b/>
      <w:bCs/>
      <w:szCs w:val="20"/>
    </w:rPr>
  </w:style>
  <w:style w:type="character" w:customStyle="1" w:styleId="CommentSubjectChar">
    <w:name w:val="Comment Subject Char"/>
    <w:basedOn w:val="DefaultParagraphFont"/>
    <w:link w:val="CommentSubject"/>
    <w:uiPriority w:val="99"/>
    <w:semiHidden/>
    <w:rsid w:val="00DA4124"/>
    <w:rPr>
      <w:rFonts w:eastAsiaTheme="minorEastAsia"/>
      <w:b/>
      <w:bCs/>
      <w:sz w:val="20"/>
      <w:szCs w:val="20"/>
      <w:lang w:eastAsia="ja-JP"/>
    </w:rPr>
  </w:style>
  <w:style w:type="table" w:styleId="GridTable1Light-Accent6">
    <w:name w:val="Grid Table 1 Light Accent 6"/>
    <w:basedOn w:val="TableNormal"/>
    <w:uiPriority w:val="46"/>
    <w:rsid w:val="00D05F8C"/>
    <w:pPr>
      <w:spacing w:after="0" w:line="240" w:lineRule="auto"/>
    </w:pPr>
    <w:tblPr>
      <w:tblStyleRowBandSize w:val="1"/>
      <w:tblStyleColBandSize w:val="1"/>
      <w:tblBorders>
        <w:top w:val="single" w:sz="4" w:space="0" w:color="D3DEE3" w:themeColor="accent6" w:themeTint="66"/>
        <w:left w:val="single" w:sz="4" w:space="0" w:color="D3DEE3" w:themeColor="accent6" w:themeTint="66"/>
        <w:bottom w:val="single" w:sz="4" w:space="0" w:color="D3DEE3" w:themeColor="accent6" w:themeTint="66"/>
        <w:right w:val="single" w:sz="4" w:space="0" w:color="D3DEE3" w:themeColor="accent6" w:themeTint="66"/>
        <w:insideH w:val="single" w:sz="4" w:space="0" w:color="D3DEE3" w:themeColor="accent6" w:themeTint="66"/>
        <w:insideV w:val="single" w:sz="4" w:space="0" w:color="D3DEE3" w:themeColor="accent6" w:themeTint="66"/>
      </w:tblBorders>
    </w:tblPr>
    <w:tblStylePr w:type="firstRow">
      <w:rPr>
        <w:b/>
        <w:bCs/>
      </w:rPr>
      <w:tblPr/>
      <w:tcPr>
        <w:tcBorders>
          <w:bottom w:val="single" w:sz="12" w:space="0" w:color="BECED5" w:themeColor="accent6" w:themeTint="99"/>
        </w:tcBorders>
      </w:tcPr>
    </w:tblStylePr>
    <w:tblStylePr w:type="lastRow">
      <w:rPr>
        <w:b/>
        <w:bCs/>
      </w:rPr>
      <w:tblPr/>
      <w:tcPr>
        <w:tcBorders>
          <w:top w:val="double" w:sz="2" w:space="0" w:color="BECED5"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9402E"/>
    <w:pPr>
      <w:spacing w:after="0" w:line="240" w:lineRule="auto"/>
    </w:pPr>
    <w:tblPr>
      <w:tblStyleRowBandSize w:val="1"/>
      <w:tblStyleColBandSize w:val="1"/>
      <w:tblBorders>
        <w:top w:val="single" w:sz="4" w:space="0" w:color="D8EF9C" w:themeColor="accent2" w:themeTint="66"/>
        <w:left w:val="single" w:sz="4" w:space="0" w:color="D8EF9C" w:themeColor="accent2" w:themeTint="66"/>
        <w:bottom w:val="single" w:sz="4" w:space="0" w:color="D8EF9C" w:themeColor="accent2" w:themeTint="66"/>
        <w:right w:val="single" w:sz="4" w:space="0" w:color="D8EF9C" w:themeColor="accent2" w:themeTint="66"/>
        <w:insideH w:val="single" w:sz="4" w:space="0" w:color="D8EF9C" w:themeColor="accent2" w:themeTint="66"/>
        <w:insideV w:val="single" w:sz="4" w:space="0" w:color="D8EF9C" w:themeColor="accent2" w:themeTint="66"/>
      </w:tblBorders>
    </w:tblPr>
    <w:tblStylePr w:type="firstRow">
      <w:rPr>
        <w:b/>
        <w:bCs/>
      </w:rPr>
      <w:tblPr/>
      <w:tcPr>
        <w:tcBorders>
          <w:bottom w:val="single" w:sz="12" w:space="0" w:color="C5E76B" w:themeColor="accent2" w:themeTint="99"/>
        </w:tcBorders>
      </w:tcPr>
    </w:tblStylePr>
    <w:tblStylePr w:type="lastRow">
      <w:rPr>
        <w:b/>
        <w:bCs/>
      </w:rPr>
      <w:tblPr/>
      <w:tcPr>
        <w:tcBorders>
          <w:top w:val="double" w:sz="2" w:space="0" w:color="C5E76B"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F152A1"/>
    <w:pPr>
      <w:spacing w:after="0" w:line="240" w:lineRule="auto"/>
    </w:pPr>
    <w:rPr>
      <w:rFonts w:eastAsiaTheme="minorEastAsia"/>
      <w:szCs w:val="24"/>
      <w:lang w:eastAsia="ja-JP"/>
    </w:rPr>
  </w:style>
  <w:style w:type="paragraph" w:styleId="Bibliography">
    <w:name w:val="Bibliography"/>
    <w:basedOn w:val="Normal"/>
    <w:next w:val="Normal"/>
    <w:uiPriority w:val="37"/>
    <w:unhideWhenUsed/>
    <w:rsid w:val="00F873D9"/>
    <w:pPr>
      <w:spacing w:after="70"/>
    </w:pPr>
  </w:style>
  <w:style w:type="paragraph" w:styleId="FootnoteText">
    <w:name w:val="footnote text"/>
    <w:basedOn w:val="Normal"/>
    <w:link w:val="FootnoteTextChar"/>
    <w:uiPriority w:val="99"/>
    <w:semiHidden/>
    <w:unhideWhenUsed/>
    <w:rsid w:val="004834A2"/>
    <w:pPr>
      <w:spacing w:after="0" w:line="240" w:lineRule="auto"/>
    </w:pPr>
    <w:rPr>
      <w:szCs w:val="20"/>
    </w:rPr>
  </w:style>
  <w:style w:type="character" w:customStyle="1" w:styleId="FootnoteTextChar">
    <w:name w:val="Footnote Text Char"/>
    <w:basedOn w:val="DefaultParagraphFont"/>
    <w:link w:val="FootnoteText"/>
    <w:uiPriority w:val="99"/>
    <w:semiHidden/>
    <w:rsid w:val="00CB7661"/>
    <w:rPr>
      <w:rFonts w:eastAsiaTheme="minorEastAsia"/>
      <w:sz w:val="20"/>
      <w:szCs w:val="20"/>
      <w:lang w:eastAsia="ja-JP"/>
    </w:rPr>
  </w:style>
  <w:style w:type="character" w:styleId="FootnoteReference">
    <w:name w:val="footnote reference"/>
    <w:basedOn w:val="DefaultParagraphFont"/>
    <w:uiPriority w:val="99"/>
    <w:semiHidden/>
    <w:unhideWhenUsed/>
    <w:rsid w:val="00CB7661"/>
    <w:rPr>
      <w:vertAlign w:val="superscript"/>
    </w:rPr>
  </w:style>
  <w:style w:type="paragraph" w:customStyle="1" w:styleId="Normal-hyperlink-bold">
    <w:name w:val="Normal - hyperlink - bold"/>
    <w:basedOn w:val="Normal"/>
    <w:link w:val="Normal-hyperlink-boldChar"/>
    <w:qFormat/>
    <w:rsid w:val="00810336"/>
    <w:rPr>
      <w:b/>
      <w:color w:val="1F4350"/>
    </w:rPr>
  </w:style>
  <w:style w:type="character" w:customStyle="1" w:styleId="Normal-hyperlink-boldChar">
    <w:name w:val="Normal - hyperlink - bold Char"/>
    <w:basedOn w:val="DefaultParagraphFont"/>
    <w:link w:val="Normal-hyperlink-bold"/>
    <w:rsid w:val="00810336"/>
    <w:rPr>
      <w:rFonts w:ascii="Arial" w:eastAsiaTheme="minorEastAsia" w:hAnsi="Arial"/>
      <w:b/>
      <w:color w:val="1F4350"/>
      <w:sz w:val="20"/>
      <w:szCs w:val="24"/>
      <w:lang w:eastAsia="ja-JP"/>
    </w:rPr>
  </w:style>
  <w:style w:type="paragraph" w:customStyle="1" w:styleId="Bullet-2bulletslist">
    <w:name w:val="Bullet - 2. bullets list"/>
    <w:basedOn w:val="Normal"/>
    <w:qFormat/>
    <w:rsid w:val="00DA4124"/>
    <w:pPr>
      <w:numPr>
        <w:numId w:val="2"/>
      </w:numPr>
      <w:spacing w:before="120" w:after="120"/>
    </w:pPr>
  </w:style>
  <w:style w:type="table" w:customStyle="1" w:styleId="Style1">
    <w:name w:val="Style1"/>
    <w:basedOn w:val="TableNormal"/>
    <w:uiPriority w:val="99"/>
    <w:rsid w:val="005715EF"/>
    <w:pPr>
      <w:spacing w:after="0" w:line="200" w:lineRule="exact"/>
    </w:pPr>
    <w:rPr>
      <w:rFonts w:cs="Arial (Body CS)"/>
      <w:color w:val="4D4D4C"/>
    </w:rPr>
    <w:tblPr>
      <w:tblBorders>
        <w:top w:val="single" w:sz="4" w:space="0" w:color="4D4D4C"/>
        <w:left w:val="single" w:sz="4" w:space="0" w:color="4D4D4C"/>
        <w:bottom w:val="single" w:sz="4" w:space="0" w:color="4D4D4C"/>
        <w:right w:val="single" w:sz="4" w:space="0" w:color="4D4D4C"/>
        <w:insideH w:val="single" w:sz="4" w:space="0" w:color="4D4D4C"/>
        <w:insideV w:val="single" w:sz="4" w:space="0" w:color="4D4D4C"/>
      </w:tblBorders>
    </w:tblPr>
    <w:trPr>
      <w:cantSplit/>
    </w:trPr>
    <w:tcPr>
      <w:shd w:val="clear" w:color="auto" w:fill="auto"/>
      <w:vAlign w:val="center"/>
    </w:tcPr>
    <w:tblStylePr w:type="firstRow">
      <w:pPr>
        <w:jc w:val="center"/>
      </w:pPr>
      <w:rPr>
        <w:rFonts w:asciiTheme="majorHAnsi" w:hAnsiTheme="majorHAnsi"/>
        <w:b/>
        <w:color w:val="auto"/>
        <w:sz w:val="22"/>
      </w:rPr>
      <w:tblPr/>
      <w:tcPr>
        <w:shd w:val="clear" w:color="auto" w:fill="E9F4FC"/>
      </w:tcPr>
    </w:tblStylePr>
    <w:tblStylePr w:type="firstCol">
      <w:rPr>
        <w:rFonts w:asciiTheme="minorHAnsi" w:hAnsiTheme="minorHAnsi"/>
        <w:b/>
        <w:sz w:val="22"/>
      </w:rPr>
    </w:tblStylePr>
  </w:style>
  <w:style w:type="table" w:customStyle="1" w:styleId="Style2">
    <w:name w:val="Style2"/>
    <w:basedOn w:val="TableNormal"/>
    <w:uiPriority w:val="99"/>
    <w:rsid w:val="002F0AED"/>
    <w:pPr>
      <w:spacing w:after="0" w:line="240" w:lineRule="auto"/>
    </w:pPr>
    <w:tblPr/>
    <w:tblStylePr w:type="firstRow">
      <w:rPr>
        <w:b/>
      </w:rPr>
    </w:tblStylePr>
    <w:tblStylePr w:type="firstCol">
      <w:rPr>
        <w:b/>
      </w:rPr>
    </w:tblStylePr>
  </w:style>
  <w:style w:type="paragraph" w:customStyle="1" w:styleId="Cover-1heading">
    <w:name w:val="Cover - 1. heading"/>
    <w:basedOn w:val="Normal"/>
    <w:qFormat/>
    <w:rsid w:val="00441F0C"/>
    <w:pPr>
      <w:spacing w:line="240" w:lineRule="auto"/>
    </w:pPr>
    <w:rPr>
      <w:rFonts w:ascii="Ubuntu" w:eastAsia="Ubuntu" w:hAnsi="Ubuntu" w:cs="Ubuntu"/>
      <w:b/>
      <w:bCs/>
      <w:color w:val="FFFFFF"/>
      <w:sz w:val="90"/>
    </w:rPr>
  </w:style>
  <w:style w:type="paragraph" w:customStyle="1" w:styleId="Cover-2Subheading">
    <w:name w:val="Cover - 2. Subheading"/>
    <w:basedOn w:val="Normal"/>
    <w:qFormat/>
    <w:rsid w:val="00441F0C"/>
    <w:pPr>
      <w:spacing w:line="259" w:lineRule="auto"/>
    </w:pPr>
    <w:rPr>
      <w:rFonts w:ascii="Ubuntu Light" w:eastAsia="Ubuntu" w:hAnsi="Ubuntu Light" w:cs="Ubuntu"/>
      <w:color w:val="FFFFFF"/>
      <w:sz w:val="54"/>
    </w:rPr>
  </w:style>
  <w:style w:type="paragraph" w:customStyle="1" w:styleId="Cover-3bodytext">
    <w:name w:val="Cover - 3. body text"/>
    <w:basedOn w:val="Normal"/>
    <w:qFormat/>
    <w:rsid w:val="008A532C"/>
    <w:pPr>
      <w:spacing w:line="270" w:lineRule="exact"/>
    </w:pPr>
    <w:rPr>
      <w:color w:val="FFFFFF" w:themeColor="background1"/>
      <w:sz w:val="18"/>
    </w:rPr>
  </w:style>
  <w:style w:type="table" w:customStyle="1" w:styleId="Style3">
    <w:name w:val="Style3"/>
    <w:basedOn w:val="TableNormal"/>
    <w:uiPriority w:val="99"/>
    <w:rsid w:val="002F0AED"/>
    <w:pPr>
      <w:spacing w:after="0" w:line="240" w:lineRule="auto"/>
    </w:pPr>
    <w:tblPr/>
    <w:tcPr>
      <w:vAlign w:val="center"/>
    </w:tcPr>
    <w:tblStylePr w:type="firstRow">
      <w:rPr>
        <w:b/>
      </w:rPr>
      <w:tblPr/>
      <w:tcPr>
        <w:shd w:val="clear" w:color="auto" w:fill="C1E8FF" w:themeFill="text1" w:themeFillTint="33"/>
      </w:tcPr>
    </w:tblStylePr>
    <w:tblStylePr w:type="firstCol">
      <w:rPr>
        <w:b/>
      </w:rPr>
    </w:tblStylePr>
  </w:style>
  <w:style w:type="paragraph" w:customStyle="1" w:styleId="Bullet-1Bodytextstart">
    <w:name w:val="Bullet - 1. Body text start"/>
    <w:basedOn w:val="Normal"/>
    <w:qFormat/>
    <w:rsid w:val="00CC2427"/>
    <w:pPr>
      <w:spacing w:after="120"/>
    </w:pPr>
    <w:rPr>
      <w:rFonts w:eastAsia="Arial" w:cs="Arial"/>
    </w:rPr>
  </w:style>
  <w:style w:type="paragraph" w:customStyle="1" w:styleId="Table-Body-centred">
    <w:name w:val="Table - Body - centred"/>
    <w:basedOn w:val="Normal"/>
    <w:qFormat/>
    <w:rsid w:val="00E539C7"/>
    <w:pPr>
      <w:spacing w:before="120" w:after="120" w:line="240" w:lineRule="auto"/>
      <w:jc w:val="center"/>
    </w:pPr>
    <w:rPr>
      <w:rFonts w:cs="Arial"/>
      <w:sz w:val="18"/>
      <w:szCs w:val="18"/>
    </w:rPr>
  </w:style>
  <w:style w:type="paragraph" w:customStyle="1" w:styleId="Table-Body-leftaligned-bold">
    <w:name w:val="Table - Body- left aligned - bold"/>
    <w:basedOn w:val="Normal"/>
    <w:qFormat/>
    <w:rsid w:val="00FC5D6C"/>
    <w:pPr>
      <w:spacing w:before="120" w:after="120" w:line="240" w:lineRule="auto"/>
    </w:pPr>
    <w:rPr>
      <w:rFonts w:cs="Arial"/>
      <w:b/>
      <w:bCs/>
      <w:sz w:val="18"/>
      <w:szCs w:val="18"/>
    </w:rPr>
  </w:style>
  <w:style w:type="paragraph" w:customStyle="1" w:styleId="TableHeading-centred-bold">
    <w:name w:val="Table Heading - centred - bold"/>
    <w:basedOn w:val="Normal"/>
    <w:autoRedefine/>
    <w:qFormat/>
    <w:rsid w:val="00B22117"/>
    <w:pPr>
      <w:keepLines/>
      <w:snapToGrid w:val="0"/>
      <w:spacing w:beforeLines="60" w:before="144" w:afterLines="60" w:after="144" w:line="240" w:lineRule="auto"/>
    </w:pPr>
    <w:rPr>
      <w:rFonts w:cs="Arial"/>
      <w:b/>
      <w:bCs/>
      <w:sz w:val="18"/>
      <w:szCs w:val="18"/>
    </w:rPr>
  </w:style>
  <w:style w:type="paragraph" w:customStyle="1" w:styleId="Table-Body-leftaligned">
    <w:name w:val="Table - Body - left aligned"/>
    <w:basedOn w:val="Normal"/>
    <w:qFormat/>
    <w:rsid w:val="00FC5D6C"/>
    <w:pPr>
      <w:spacing w:beforeLines="60" w:before="144" w:afterLines="60" w:after="144" w:line="200" w:lineRule="exact"/>
    </w:pPr>
    <w:rPr>
      <w:rFonts w:cstheme="minorHAnsi"/>
      <w:sz w:val="18"/>
      <w:szCs w:val="18"/>
    </w:rPr>
  </w:style>
  <w:style w:type="character" w:customStyle="1" w:styleId="TableHyperlink">
    <w:name w:val="Table Hyperlink"/>
    <w:basedOn w:val="Normal-hyperlink-boldChar"/>
    <w:uiPriority w:val="1"/>
    <w:qFormat/>
    <w:rsid w:val="0091738A"/>
    <w:rPr>
      <w:rFonts w:ascii="Arial" w:eastAsiaTheme="minorEastAsia" w:hAnsi="Arial"/>
      <w:b/>
      <w:color w:val="1F4350"/>
      <w:sz w:val="18"/>
      <w:szCs w:val="24"/>
      <w:lang w:eastAsia="ja-JP"/>
    </w:rPr>
  </w:style>
  <w:style w:type="paragraph" w:customStyle="1" w:styleId="Contents-2sectionlist">
    <w:name w:val="Contents - 2. section list"/>
    <w:basedOn w:val="Normal"/>
    <w:qFormat/>
    <w:rsid w:val="000F0DAA"/>
    <w:pPr>
      <w:tabs>
        <w:tab w:val="right" w:leader="dot" w:pos="9060"/>
      </w:tabs>
      <w:spacing w:after="0" w:line="276" w:lineRule="auto"/>
      <w:ind w:left="340"/>
    </w:pPr>
    <w:rPr>
      <w:noProof/>
    </w:rPr>
  </w:style>
  <w:style w:type="paragraph" w:customStyle="1" w:styleId="Contents-1section">
    <w:name w:val="Contents - 1. section"/>
    <w:basedOn w:val="Normal"/>
    <w:qFormat/>
    <w:rsid w:val="007F1439"/>
    <w:pPr>
      <w:tabs>
        <w:tab w:val="left" w:pos="340"/>
        <w:tab w:val="left" w:pos="454"/>
        <w:tab w:val="left" w:pos="567"/>
        <w:tab w:val="left" w:pos="600"/>
        <w:tab w:val="right" w:leader="dot" w:pos="9968"/>
      </w:tabs>
      <w:spacing w:before="120" w:after="0" w:line="276" w:lineRule="auto"/>
    </w:pPr>
    <w:rPr>
      <w:rFonts w:cs="Arial"/>
      <w:b/>
      <w:bCs/>
      <w:noProof/>
      <w:color w:val="0090D4"/>
      <w:szCs w:val="20"/>
    </w:rPr>
  </w:style>
  <w:style w:type="table" w:customStyle="1" w:styleId="Style4">
    <w:name w:val="Style4"/>
    <w:basedOn w:val="TableNormal"/>
    <w:uiPriority w:val="99"/>
    <w:rsid w:val="00195DFC"/>
    <w:pPr>
      <w:spacing w:after="0" w:line="240" w:lineRule="auto"/>
    </w:pPr>
    <w:rPr>
      <w:color w:val="4F4F4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tcPr>
      <w:shd w:val="clear" w:color="auto" w:fill="auto"/>
      <w:vAlign w:val="center"/>
    </w:tcPr>
    <w:tblStylePr w:type="firstRow">
      <w:pPr>
        <w:jc w:val="left"/>
      </w:pPr>
      <w:rPr>
        <w:rFonts w:asciiTheme="minorHAnsi" w:hAnsiTheme="minorHAnsi"/>
        <w:b/>
        <w:sz w:val="22"/>
      </w:rPr>
      <w:tblPr/>
      <w:tcPr>
        <w:shd w:val="clear" w:color="auto" w:fill="C1E8FF" w:themeFill="text1" w:themeFillTint="33"/>
        <w:vAlign w:val="top"/>
      </w:tcPr>
    </w:tblStylePr>
    <w:tblStylePr w:type="firstCol">
      <w:rPr>
        <w:b/>
      </w:rPr>
    </w:tblStylePr>
  </w:style>
  <w:style w:type="table" w:styleId="GridTable3">
    <w:name w:val="Grid Table 3"/>
    <w:basedOn w:val="TableNormal"/>
    <w:uiPriority w:val="48"/>
    <w:rsid w:val="008D7EFB"/>
    <w:pPr>
      <w:spacing w:after="0" w:line="240" w:lineRule="auto"/>
    </w:pPr>
    <w:tblPr>
      <w:tblStyleRowBandSize w:val="1"/>
      <w:tblStyleColBandSize w:val="1"/>
      <w:tblBorders>
        <w:top w:val="single" w:sz="4" w:space="0" w:color="46BCFF" w:themeColor="text1" w:themeTint="99"/>
        <w:left w:val="single" w:sz="4" w:space="0" w:color="46BCFF" w:themeColor="text1" w:themeTint="99"/>
        <w:bottom w:val="single" w:sz="4" w:space="0" w:color="46BCFF" w:themeColor="text1" w:themeTint="99"/>
        <w:right w:val="single" w:sz="4" w:space="0" w:color="46BCFF" w:themeColor="text1" w:themeTint="99"/>
        <w:insideH w:val="single" w:sz="4" w:space="0" w:color="46BCFF" w:themeColor="text1" w:themeTint="99"/>
        <w:insideV w:val="single" w:sz="4" w:space="0" w:color="46BCFF"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8FF" w:themeFill="text1" w:themeFillTint="33"/>
      </w:tcPr>
    </w:tblStylePr>
    <w:tblStylePr w:type="band1Horz">
      <w:tblPr/>
      <w:tcPr>
        <w:shd w:val="clear" w:color="auto" w:fill="C1E8FF" w:themeFill="text1" w:themeFillTint="33"/>
      </w:tcPr>
    </w:tblStylePr>
    <w:tblStylePr w:type="neCell">
      <w:tblPr/>
      <w:tcPr>
        <w:tcBorders>
          <w:bottom w:val="single" w:sz="4" w:space="0" w:color="46BCFF" w:themeColor="text1" w:themeTint="99"/>
        </w:tcBorders>
      </w:tcPr>
    </w:tblStylePr>
    <w:tblStylePr w:type="nwCell">
      <w:tblPr/>
      <w:tcPr>
        <w:tcBorders>
          <w:bottom w:val="single" w:sz="4" w:space="0" w:color="46BCFF" w:themeColor="text1" w:themeTint="99"/>
        </w:tcBorders>
      </w:tcPr>
    </w:tblStylePr>
    <w:tblStylePr w:type="seCell">
      <w:tblPr/>
      <w:tcPr>
        <w:tcBorders>
          <w:top w:val="single" w:sz="4" w:space="0" w:color="46BCFF" w:themeColor="text1" w:themeTint="99"/>
        </w:tcBorders>
      </w:tcPr>
    </w:tblStylePr>
    <w:tblStylePr w:type="swCell">
      <w:tblPr/>
      <w:tcPr>
        <w:tcBorders>
          <w:top w:val="single" w:sz="4" w:space="0" w:color="46BCFF" w:themeColor="text1" w:themeTint="99"/>
        </w:tcBorders>
      </w:tcPr>
    </w:tblStylePr>
  </w:style>
  <w:style w:type="table" w:styleId="GridTable2-Accent6">
    <w:name w:val="Grid Table 2 Accent 6"/>
    <w:basedOn w:val="TableNormal"/>
    <w:uiPriority w:val="47"/>
    <w:rsid w:val="008D7EFB"/>
    <w:pPr>
      <w:spacing w:after="0" w:line="240" w:lineRule="auto"/>
    </w:pPr>
    <w:tblPr>
      <w:tblStyleRowBandSize w:val="1"/>
      <w:tblStyleColBandSize w:val="1"/>
      <w:tblBorders>
        <w:top w:val="single" w:sz="2" w:space="0" w:color="BECED5" w:themeColor="accent6" w:themeTint="99"/>
        <w:bottom w:val="single" w:sz="2" w:space="0" w:color="BECED5" w:themeColor="accent6" w:themeTint="99"/>
        <w:insideH w:val="single" w:sz="2" w:space="0" w:color="BECED5" w:themeColor="accent6" w:themeTint="99"/>
        <w:insideV w:val="single" w:sz="2" w:space="0" w:color="BECED5" w:themeColor="accent6" w:themeTint="99"/>
      </w:tblBorders>
    </w:tblPr>
    <w:tblStylePr w:type="firstRow">
      <w:rPr>
        <w:b/>
        <w:bCs/>
      </w:rPr>
      <w:tblPr/>
      <w:tcPr>
        <w:tcBorders>
          <w:top w:val="nil"/>
          <w:bottom w:val="single" w:sz="12" w:space="0" w:color="BECED5" w:themeColor="accent6" w:themeTint="99"/>
          <w:insideH w:val="nil"/>
          <w:insideV w:val="nil"/>
        </w:tcBorders>
        <w:shd w:val="clear" w:color="auto" w:fill="FFFFFF" w:themeFill="background1"/>
      </w:tcPr>
    </w:tblStylePr>
    <w:tblStylePr w:type="lastRow">
      <w:rPr>
        <w:b/>
        <w:bCs/>
      </w:rPr>
      <w:tblPr/>
      <w:tcPr>
        <w:tcBorders>
          <w:top w:val="double" w:sz="2" w:space="0" w:color="BECED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EEF1" w:themeFill="accent6" w:themeFillTint="33"/>
      </w:tcPr>
    </w:tblStylePr>
    <w:tblStylePr w:type="band1Horz">
      <w:tblPr/>
      <w:tcPr>
        <w:shd w:val="clear" w:color="auto" w:fill="E9EEF1" w:themeFill="accent6" w:themeFillTint="33"/>
      </w:tcPr>
    </w:tblStylePr>
  </w:style>
  <w:style w:type="table" w:styleId="GridTable2-Accent5">
    <w:name w:val="Grid Table 2 Accent 5"/>
    <w:basedOn w:val="TableNormal"/>
    <w:uiPriority w:val="47"/>
    <w:rsid w:val="008D7EFB"/>
    <w:pPr>
      <w:spacing w:after="0" w:line="240" w:lineRule="auto"/>
    </w:pPr>
    <w:tblPr>
      <w:tblStyleRowBandSize w:val="1"/>
      <w:tblStyleColBandSize w:val="1"/>
      <w:tblBorders>
        <w:top w:val="single" w:sz="2" w:space="0" w:color="F0905B" w:themeColor="accent5" w:themeTint="99"/>
        <w:bottom w:val="single" w:sz="2" w:space="0" w:color="F0905B" w:themeColor="accent5" w:themeTint="99"/>
        <w:insideH w:val="single" w:sz="2" w:space="0" w:color="F0905B" w:themeColor="accent5" w:themeTint="99"/>
        <w:insideV w:val="single" w:sz="2" w:space="0" w:color="F0905B" w:themeColor="accent5" w:themeTint="99"/>
      </w:tblBorders>
    </w:tblPr>
    <w:tblStylePr w:type="firstRow">
      <w:rPr>
        <w:b/>
        <w:bCs/>
      </w:rPr>
      <w:tblPr/>
      <w:tcPr>
        <w:tcBorders>
          <w:top w:val="nil"/>
          <w:bottom w:val="single" w:sz="12" w:space="0" w:color="F0905B" w:themeColor="accent5" w:themeTint="99"/>
          <w:insideH w:val="nil"/>
          <w:insideV w:val="nil"/>
        </w:tcBorders>
        <w:shd w:val="clear" w:color="auto" w:fill="FFFFFF" w:themeFill="background1"/>
      </w:tcPr>
    </w:tblStylePr>
    <w:tblStylePr w:type="lastRow">
      <w:rPr>
        <w:b/>
        <w:bCs/>
      </w:rPr>
      <w:tblPr/>
      <w:tcPr>
        <w:tcBorders>
          <w:top w:val="double" w:sz="2" w:space="0" w:color="F0905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9C8" w:themeFill="accent5" w:themeFillTint="33"/>
      </w:tcPr>
    </w:tblStylePr>
    <w:tblStylePr w:type="band1Horz">
      <w:tblPr/>
      <w:tcPr>
        <w:shd w:val="clear" w:color="auto" w:fill="FAD9C8" w:themeFill="accent5" w:themeFillTint="33"/>
      </w:tcPr>
    </w:tblStylePr>
  </w:style>
  <w:style w:type="table" w:styleId="GridTable2-Accent4">
    <w:name w:val="Grid Table 2 Accent 4"/>
    <w:basedOn w:val="TableNormal"/>
    <w:uiPriority w:val="47"/>
    <w:rsid w:val="008D7EFB"/>
    <w:pPr>
      <w:spacing w:after="0" w:line="240" w:lineRule="auto"/>
    </w:pPr>
    <w:tblPr>
      <w:tblStyleRowBandSize w:val="1"/>
      <w:tblStyleColBandSize w:val="1"/>
      <w:tblBorders>
        <w:top w:val="single" w:sz="2" w:space="0" w:color="52A0BD" w:themeColor="accent4" w:themeTint="99"/>
        <w:bottom w:val="single" w:sz="2" w:space="0" w:color="52A0BD" w:themeColor="accent4" w:themeTint="99"/>
        <w:insideH w:val="single" w:sz="2" w:space="0" w:color="52A0BD" w:themeColor="accent4" w:themeTint="99"/>
        <w:insideV w:val="single" w:sz="2" w:space="0" w:color="52A0BD" w:themeColor="accent4" w:themeTint="99"/>
      </w:tblBorders>
    </w:tblPr>
    <w:tblStylePr w:type="firstRow">
      <w:rPr>
        <w:b/>
        <w:bCs/>
      </w:rPr>
      <w:tblPr/>
      <w:tcPr>
        <w:tcBorders>
          <w:top w:val="nil"/>
          <w:bottom w:val="single" w:sz="12" w:space="0" w:color="52A0BD" w:themeColor="accent4" w:themeTint="99"/>
          <w:insideH w:val="nil"/>
          <w:insideV w:val="nil"/>
        </w:tcBorders>
        <w:shd w:val="clear" w:color="auto" w:fill="FFFFFF" w:themeFill="background1"/>
      </w:tcPr>
    </w:tblStylePr>
    <w:tblStylePr w:type="lastRow">
      <w:rPr>
        <w:b/>
        <w:bCs/>
      </w:rPr>
      <w:tblPr/>
      <w:tcPr>
        <w:tcBorders>
          <w:top w:val="double" w:sz="2" w:space="0" w:color="52A0B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DFE9" w:themeFill="accent4" w:themeFillTint="33"/>
      </w:tcPr>
    </w:tblStylePr>
    <w:tblStylePr w:type="band1Horz">
      <w:tblPr/>
      <w:tcPr>
        <w:shd w:val="clear" w:color="auto" w:fill="C5DFE9" w:themeFill="accent4" w:themeFillTint="33"/>
      </w:tcPr>
    </w:tblStylePr>
  </w:style>
  <w:style w:type="table" w:styleId="GridTable2-Accent3">
    <w:name w:val="Grid Table 2 Accent 3"/>
    <w:basedOn w:val="TableNormal"/>
    <w:uiPriority w:val="47"/>
    <w:rsid w:val="008D7EFB"/>
    <w:pPr>
      <w:spacing w:after="0" w:line="240" w:lineRule="auto"/>
    </w:pPr>
    <w:tblPr>
      <w:tblStyleRowBandSize w:val="1"/>
      <w:tblStyleColBandSize w:val="1"/>
      <w:tblBorders>
        <w:top w:val="single" w:sz="2" w:space="0" w:color="F8FF4E" w:themeColor="accent3" w:themeTint="99"/>
        <w:bottom w:val="single" w:sz="2" w:space="0" w:color="F8FF4E" w:themeColor="accent3" w:themeTint="99"/>
        <w:insideH w:val="single" w:sz="2" w:space="0" w:color="F8FF4E" w:themeColor="accent3" w:themeTint="99"/>
        <w:insideV w:val="single" w:sz="2" w:space="0" w:color="F8FF4E" w:themeColor="accent3" w:themeTint="99"/>
      </w:tblBorders>
    </w:tblPr>
    <w:tblStylePr w:type="firstRow">
      <w:rPr>
        <w:b/>
        <w:bCs/>
      </w:rPr>
      <w:tblPr/>
      <w:tcPr>
        <w:tcBorders>
          <w:top w:val="nil"/>
          <w:bottom w:val="single" w:sz="12" w:space="0" w:color="F8FF4E" w:themeColor="accent3" w:themeTint="99"/>
          <w:insideH w:val="nil"/>
          <w:insideV w:val="nil"/>
        </w:tcBorders>
        <w:shd w:val="clear" w:color="auto" w:fill="FFFFFF" w:themeFill="background1"/>
      </w:tcPr>
    </w:tblStylePr>
    <w:tblStylePr w:type="lastRow">
      <w:rPr>
        <w:b/>
        <w:bCs/>
      </w:rPr>
      <w:tblPr/>
      <w:tcPr>
        <w:tcBorders>
          <w:top w:val="double" w:sz="2" w:space="0" w:color="F8FF4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FC4" w:themeFill="accent3" w:themeFillTint="33"/>
      </w:tcPr>
    </w:tblStylePr>
    <w:tblStylePr w:type="band1Horz">
      <w:tblPr/>
      <w:tcPr>
        <w:shd w:val="clear" w:color="auto" w:fill="FCFFC4" w:themeFill="accent3" w:themeFillTint="33"/>
      </w:tcPr>
    </w:tblStylePr>
  </w:style>
  <w:style w:type="table" w:styleId="GridTable2-Accent2">
    <w:name w:val="Grid Table 2 Accent 2"/>
    <w:basedOn w:val="TableNormal"/>
    <w:uiPriority w:val="47"/>
    <w:rsid w:val="008D7EFB"/>
    <w:pPr>
      <w:spacing w:after="0" w:line="240" w:lineRule="auto"/>
    </w:pPr>
    <w:tblPr>
      <w:tblStyleRowBandSize w:val="1"/>
      <w:tblStyleColBandSize w:val="1"/>
      <w:tblBorders>
        <w:top w:val="single" w:sz="2" w:space="0" w:color="C5E76B" w:themeColor="accent2" w:themeTint="99"/>
        <w:bottom w:val="single" w:sz="2" w:space="0" w:color="C5E76B" w:themeColor="accent2" w:themeTint="99"/>
        <w:insideH w:val="single" w:sz="2" w:space="0" w:color="C5E76B" w:themeColor="accent2" w:themeTint="99"/>
        <w:insideV w:val="single" w:sz="2" w:space="0" w:color="C5E76B" w:themeColor="accent2" w:themeTint="99"/>
      </w:tblBorders>
    </w:tblPr>
    <w:tblStylePr w:type="firstRow">
      <w:rPr>
        <w:b/>
        <w:bCs/>
      </w:rPr>
      <w:tblPr/>
      <w:tcPr>
        <w:tcBorders>
          <w:top w:val="nil"/>
          <w:bottom w:val="single" w:sz="12" w:space="0" w:color="C5E76B" w:themeColor="accent2" w:themeTint="99"/>
          <w:insideH w:val="nil"/>
          <w:insideV w:val="nil"/>
        </w:tcBorders>
        <w:shd w:val="clear" w:color="auto" w:fill="FFFFFF" w:themeFill="background1"/>
      </w:tcPr>
    </w:tblStylePr>
    <w:tblStylePr w:type="lastRow">
      <w:rPr>
        <w:b/>
        <w:bCs/>
      </w:rPr>
      <w:tblPr/>
      <w:tcPr>
        <w:tcBorders>
          <w:top w:val="double" w:sz="2" w:space="0" w:color="C5E76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2" w:themeFillTint="33"/>
      </w:tcPr>
    </w:tblStylePr>
    <w:tblStylePr w:type="band1Horz">
      <w:tblPr/>
      <w:tcPr>
        <w:shd w:val="clear" w:color="auto" w:fill="EBF7CD" w:themeFill="accent2" w:themeFillTint="33"/>
      </w:tcPr>
    </w:tblStylePr>
  </w:style>
  <w:style w:type="table" w:styleId="GridTable2">
    <w:name w:val="Grid Table 2"/>
    <w:basedOn w:val="TableNormal"/>
    <w:uiPriority w:val="47"/>
    <w:rsid w:val="008D7EFB"/>
    <w:pPr>
      <w:spacing w:after="0" w:line="240" w:lineRule="auto"/>
    </w:pPr>
    <w:tblPr>
      <w:tblStyleRowBandSize w:val="1"/>
      <w:tblStyleColBandSize w:val="1"/>
      <w:tblBorders>
        <w:top w:val="single" w:sz="2" w:space="0" w:color="46BCFF" w:themeColor="text1" w:themeTint="99"/>
        <w:bottom w:val="single" w:sz="2" w:space="0" w:color="46BCFF" w:themeColor="text1" w:themeTint="99"/>
        <w:insideH w:val="single" w:sz="2" w:space="0" w:color="46BCFF" w:themeColor="text1" w:themeTint="99"/>
        <w:insideV w:val="single" w:sz="2" w:space="0" w:color="46BCFF" w:themeColor="text1" w:themeTint="99"/>
      </w:tblBorders>
    </w:tblPr>
    <w:tblStylePr w:type="firstRow">
      <w:rPr>
        <w:b/>
        <w:bCs/>
      </w:rPr>
      <w:tblPr/>
      <w:tcPr>
        <w:tcBorders>
          <w:top w:val="nil"/>
          <w:bottom w:val="single" w:sz="12" w:space="0" w:color="46BCFF" w:themeColor="text1" w:themeTint="99"/>
          <w:insideH w:val="nil"/>
          <w:insideV w:val="nil"/>
        </w:tcBorders>
        <w:shd w:val="clear" w:color="auto" w:fill="FFFFFF" w:themeFill="background1"/>
      </w:tcPr>
    </w:tblStylePr>
    <w:tblStylePr w:type="lastRow">
      <w:rPr>
        <w:b/>
        <w:bCs/>
      </w:rPr>
      <w:tblPr/>
      <w:tcPr>
        <w:tcBorders>
          <w:top w:val="double" w:sz="2" w:space="0" w:color="46BCFF"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8FF" w:themeFill="text1" w:themeFillTint="33"/>
      </w:tcPr>
    </w:tblStylePr>
    <w:tblStylePr w:type="band1Horz">
      <w:tblPr/>
      <w:tcPr>
        <w:shd w:val="clear" w:color="auto" w:fill="C1E8FF" w:themeFill="text1" w:themeFillTint="33"/>
      </w:tcPr>
    </w:tblStylePr>
  </w:style>
  <w:style w:type="table" w:styleId="GridTable2-Accent1">
    <w:name w:val="Grid Table 2 Accent 1"/>
    <w:basedOn w:val="TableNormal"/>
    <w:uiPriority w:val="47"/>
    <w:rsid w:val="008D7EFB"/>
    <w:pPr>
      <w:spacing w:after="0" w:line="240" w:lineRule="auto"/>
    </w:pPr>
    <w:tblPr>
      <w:tblStyleRowBandSize w:val="1"/>
      <w:tblStyleColBandSize w:val="1"/>
      <w:tblBorders>
        <w:top w:val="single" w:sz="2" w:space="0" w:color="46BCFF" w:themeColor="accent1" w:themeTint="99"/>
        <w:bottom w:val="single" w:sz="2" w:space="0" w:color="46BCFF" w:themeColor="accent1" w:themeTint="99"/>
        <w:insideH w:val="single" w:sz="2" w:space="0" w:color="46BCFF" w:themeColor="accent1" w:themeTint="99"/>
        <w:insideV w:val="single" w:sz="2" w:space="0" w:color="46BCFF" w:themeColor="accent1" w:themeTint="99"/>
      </w:tblBorders>
    </w:tblPr>
    <w:tblStylePr w:type="firstRow">
      <w:rPr>
        <w:b/>
        <w:bCs/>
      </w:rPr>
      <w:tblPr/>
      <w:tcPr>
        <w:tcBorders>
          <w:top w:val="nil"/>
          <w:bottom w:val="single" w:sz="12" w:space="0" w:color="46BCFF" w:themeColor="accent1" w:themeTint="99"/>
          <w:insideH w:val="nil"/>
          <w:insideV w:val="nil"/>
        </w:tcBorders>
        <w:shd w:val="clear" w:color="auto" w:fill="FFFFFF" w:themeFill="background1"/>
      </w:tcPr>
    </w:tblStylePr>
    <w:tblStylePr w:type="lastRow">
      <w:rPr>
        <w:b/>
        <w:bCs/>
      </w:rPr>
      <w:tblPr/>
      <w:tcPr>
        <w:tcBorders>
          <w:top w:val="double" w:sz="2" w:space="0" w:color="46BC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8FF" w:themeFill="accent1" w:themeFillTint="33"/>
      </w:tcPr>
    </w:tblStylePr>
    <w:tblStylePr w:type="band1Horz">
      <w:tblPr/>
      <w:tcPr>
        <w:shd w:val="clear" w:color="auto" w:fill="C1E8FF" w:themeFill="accent1" w:themeFillTint="33"/>
      </w:tcPr>
    </w:tblStylePr>
  </w:style>
  <w:style w:type="table" w:styleId="PlainTable5">
    <w:name w:val="Plain Table 5"/>
    <w:basedOn w:val="TableNormal"/>
    <w:uiPriority w:val="45"/>
    <w:rsid w:val="008D7EF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4C7F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4C7F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4C7F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4C7F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
    <w:name w:val="List Table 3"/>
    <w:basedOn w:val="TableNormal"/>
    <w:uiPriority w:val="48"/>
    <w:rsid w:val="008D7EFB"/>
    <w:pPr>
      <w:spacing w:after="0" w:line="240" w:lineRule="auto"/>
    </w:pPr>
    <w:tblPr>
      <w:tblStyleRowBandSize w:val="1"/>
      <w:tblStyleColBandSize w:val="1"/>
      <w:tblBorders>
        <w:top w:val="single" w:sz="4" w:space="0" w:color="0082CA" w:themeColor="text1"/>
        <w:left w:val="single" w:sz="4" w:space="0" w:color="0082CA" w:themeColor="text1"/>
        <w:bottom w:val="single" w:sz="4" w:space="0" w:color="0082CA" w:themeColor="text1"/>
        <w:right w:val="single" w:sz="4" w:space="0" w:color="0082CA" w:themeColor="text1"/>
      </w:tblBorders>
    </w:tblPr>
    <w:tblStylePr w:type="firstRow">
      <w:rPr>
        <w:b/>
        <w:bCs/>
        <w:color w:val="FFFFFF" w:themeColor="background1"/>
      </w:rPr>
      <w:tblPr/>
      <w:tcPr>
        <w:shd w:val="clear" w:color="auto" w:fill="0082CA" w:themeFill="text1"/>
      </w:tcPr>
    </w:tblStylePr>
    <w:tblStylePr w:type="lastRow">
      <w:rPr>
        <w:b/>
        <w:bCs/>
      </w:rPr>
      <w:tblPr/>
      <w:tcPr>
        <w:tcBorders>
          <w:top w:val="double" w:sz="4" w:space="0" w:color="0082CA"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2CA" w:themeColor="text1"/>
          <w:right w:val="single" w:sz="4" w:space="0" w:color="0082CA" w:themeColor="text1"/>
        </w:tcBorders>
      </w:tcPr>
    </w:tblStylePr>
    <w:tblStylePr w:type="band1Horz">
      <w:tblPr/>
      <w:tcPr>
        <w:tcBorders>
          <w:top w:val="single" w:sz="4" w:space="0" w:color="0082CA" w:themeColor="text1"/>
          <w:bottom w:val="single" w:sz="4" w:space="0" w:color="0082CA"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2CA" w:themeColor="text1"/>
          <w:left w:val="nil"/>
        </w:tcBorders>
      </w:tcPr>
    </w:tblStylePr>
    <w:tblStylePr w:type="swCell">
      <w:tblPr/>
      <w:tcPr>
        <w:tcBorders>
          <w:top w:val="double" w:sz="4" w:space="0" w:color="0082CA" w:themeColor="text1"/>
          <w:right w:val="nil"/>
        </w:tcBorders>
      </w:tcPr>
    </w:tblStylePr>
  </w:style>
  <w:style w:type="table" w:styleId="ListTable7Colorful">
    <w:name w:val="List Table 7 Colorful"/>
    <w:basedOn w:val="TableNormal"/>
    <w:uiPriority w:val="52"/>
    <w:rsid w:val="008D7EFB"/>
    <w:pPr>
      <w:spacing w:after="0" w:line="240" w:lineRule="auto"/>
    </w:pPr>
    <w:rPr>
      <w:color w:val="0082CA"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2CA"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2CA"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2CA"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2CA" w:themeColor="text1"/>
        </w:tcBorders>
        <w:shd w:val="clear" w:color="auto" w:fill="FFFFFF" w:themeFill="background1"/>
      </w:tcPr>
    </w:tblStylePr>
    <w:tblStylePr w:type="band1Vert">
      <w:tblPr/>
      <w:tcPr>
        <w:shd w:val="clear" w:color="auto" w:fill="C1E8FF" w:themeFill="text1" w:themeFillTint="33"/>
      </w:tcPr>
    </w:tblStylePr>
    <w:tblStylePr w:type="band1Horz">
      <w:tblPr/>
      <w:tcPr>
        <w:shd w:val="clear" w:color="auto" w:fill="C1E8FF"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461F89"/>
    <w:pPr>
      <w:spacing w:after="0" w:line="240" w:lineRule="auto"/>
    </w:pPr>
    <w:tblPr>
      <w:tblStyleRowBandSize w:val="1"/>
      <w:tblStyleColBandSize w:val="1"/>
      <w:tblBorders>
        <w:top w:val="single" w:sz="4" w:space="0" w:color="64C7FF" w:themeColor="text1" w:themeTint="80"/>
        <w:bottom w:val="single" w:sz="4" w:space="0" w:color="64C7FF" w:themeColor="text1" w:themeTint="80"/>
      </w:tblBorders>
    </w:tblPr>
    <w:tblStylePr w:type="firstRow">
      <w:rPr>
        <w:b/>
        <w:bCs/>
      </w:rPr>
      <w:tblPr/>
      <w:tcPr>
        <w:tcBorders>
          <w:bottom w:val="single" w:sz="4" w:space="0" w:color="64C7FF" w:themeColor="text1" w:themeTint="80"/>
        </w:tcBorders>
      </w:tcPr>
    </w:tblStylePr>
    <w:tblStylePr w:type="lastRow">
      <w:rPr>
        <w:b/>
        <w:bCs/>
      </w:rPr>
      <w:tblPr/>
      <w:tcPr>
        <w:tcBorders>
          <w:top w:val="single" w:sz="4" w:space="0" w:color="64C7FF" w:themeColor="text1" w:themeTint="80"/>
        </w:tcBorders>
      </w:tcPr>
    </w:tblStylePr>
    <w:tblStylePr w:type="firstCol">
      <w:rPr>
        <w:b/>
        <w:bCs/>
      </w:rPr>
    </w:tblStylePr>
    <w:tblStylePr w:type="lastCol">
      <w:rPr>
        <w:b/>
        <w:bCs/>
      </w:rPr>
    </w:tblStylePr>
    <w:tblStylePr w:type="band1Vert">
      <w:tblPr/>
      <w:tcPr>
        <w:tcBorders>
          <w:left w:val="single" w:sz="4" w:space="0" w:color="64C7FF" w:themeColor="text1" w:themeTint="80"/>
          <w:right w:val="single" w:sz="4" w:space="0" w:color="64C7FF" w:themeColor="text1" w:themeTint="80"/>
        </w:tcBorders>
      </w:tcPr>
    </w:tblStylePr>
    <w:tblStylePr w:type="band2Vert">
      <w:tblPr/>
      <w:tcPr>
        <w:tcBorders>
          <w:left w:val="single" w:sz="4" w:space="0" w:color="64C7FF" w:themeColor="text1" w:themeTint="80"/>
          <w:right w:val="single" w:sz="4" w:space="0" w:color="64C7FF" w:themeColor="text1" w:themeTint="80"/>
        </w:tcBorders>
      </w:tcPr>
    </w:tblStylePr>
    <w:tblStylePr w:type="band1Horz">
      <w:tblPr/>
      <w:tcPr>
        <w:tcBorders>
          <w:top w:val="single" w:sz="4" w:space="0" w:color="64C7FF" w:themeColor="text1" w:themeTint="80"/>
          <w:bottom w:val="single" w:sz="4" w:space="0" w:color="64C7FF" w:themeColor="text1" w:themeTint="80"/>
        </w:tcBorders>
      </w:tcPr>
    </w:tblStylePr>
  </w:style>
  <w:style w:type="table" w:styleId="PlainTable1">
    <w:name w:val="Plain Table 1"/>
    <w:basedOn w:val="TableNormal"/>
    <w:uiPriority w:val="41"/>
    <w:rsid w:val="00461F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Bold">
    <w:name w:val="Normal - Bold"/>
    <w:basedOn w:val="Normal"/>
    <w:qFormat/>
    <w:rsid w:val="00AC4009"/>
    <w:pPr>
      <w:keepLines/>
      <w:snapToGrid w:val="0"/>
      <w:spacing w:beforeLines="60" w:before="144" w:afterLines="60" w:after="144" w:line="220" w:lineRule="exact"/>
    </w:pPr>
    <w:rPr>
      <w:rFonts w:cs="Arial (Body CS)"/>
      <w:b/>
      <w:bCs/>
    </w:rPr>
  </w:style>
  <w:style w:type="paragraph" w:styleId="TOC1">
    <w:name w:val="toc 1"/>
    <w:basedOn w:val="Normal"/>
    <w:next w:val="Normal"/>
    <w:autoRedefine/>
    <w:uiPriority w:val="39"/>
    <w:unhideWhenUsed/>
    <w:rsid w:val="00363170"/>
    <w:pPr>
      <w:spacing w:after="100"/>
    </w:pPr>
  </w:style>
  <w:style w:type="paragraph" w:styleId="TOC2">
    <w:name w:val="toc 2"/>
    <w:basedOn w:val="Normal"/>
    <w:next w:val="Normal"/>
    <w:autoRedefine/>
    <w:uiPriority w:val="39"/>
    <w:unhideWhenUsed/>
    <w:rsid w:val="00363170"/>
    <w:pPr>
      <w:spacing w:after="100"/>
      <w:ind w:left="200"/>
    </w:pPr>
  </w:style>
  <w:style w:type="paragraph" w:styleId="TOC3">
    <w:name w:val="toc 3"/>
    <w:basedOn w:val="Normal"/>
    <w:next w:val="Normal"/>
    <w:autoRedefine/>
    <w:uiPriority w:val="39"/>
    <w:unhideWhenUsed/>
    <w:rsid w:val="00363170"/>
    <w:pPr>
      <w:spacing w:after="100"/>
      <w:ind w:left="400"/>
    </w:pPr>
  </w:style>
  <w:style w:type="paragraph" w:styleId="NormalWeb">
    <w:name w:val="Normal (Web)"/>
    <w:basedOn w:val="Normal"/>
    <w:uiPriority w:val="99"/>
    <w:semiHidden/>
    <w:unhideWhenUsed/>
    <w:rsid w:val="00A23C2C"/>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styleId="Strong">
    <w:name w:val="Strong"/>
    <w:basedOn w:val="DefaultParagraphFont"/>
    <w:uiPriority w:val="22"/>
    <w:qFormat/>
    <w:rsid w:val="00A23C2C"/>
    <w:rPr>
      <w:b/>
      <w:bCs/>
    </w:rPr>
  </w:style>
  <w:style w:type="paragraph" w:styleId="ListParagraph">
    <w:name w:val="List Paragraph"/>
    <w:basedOn w:val="Normal"/>
    <w:uiPriority w:val="34"/>
    <w:qFormat/>
    <w:rsid w:val="00977FAD"/>
    <w:pPr>
      <w:ind w:left="720"/>
      <w:contextualSpacing/>
    </w:pPr>
  </w:style>
  <w:style w:type="table" w:styleId="ListTable4-Accent3">
    <w:name w:val="List Table 4 Accent 3"/>
    <w:basedOn w:val="TableNormal"/>
    <w:uiPriority w:val="49"/>
    <w:rsid w:val="0080298D"/>
    <w:pPr>
      <w:spacing w:after="0" w:line="240" w:lineRule="auto"/>
    </w:pPr>
    <w:tblPr>
      <w:tblStyleRowBandSize w:val="1"/>
      <w:tblStyleColBandSize w:val="1"/>
      <w:tblBorders>
        <w:top w:val="single" w:sz="4" w:space="0" w:color="F8FF4E" w:themeColor="accent3" w:themeTint="99"/>
        <w:left w:val="single" w:sz="4" w:space="0" w:color="F8FF4E" w:themeColor="accent3" w:themeTint="99"/>
        <w:bottom w:val="single" w:sz="4" w:space="0" w:color="F8FF4E" w:themeColor="accent3" w:themeTint="99"/>
        <w:right w:val="single" w:sz="4" w:space="0" w:color="F8FF4E" w:themeColor="accent3" w:themeTint="99"/>
        <w:insideH w:val="single" w:sz="4" w:space="0" w:color="F8FF4E" w:themeColor="accent3" w:themeTint="99"/>
      </w:tblBorders>
    </w:tblPr>
    <w:tblStylePr w:type="firstRow">
      <w:rPr>
        <w:b/>
        <w:bCs/>
        <w:color w:val="FFFFFF" w:themeColor="background1"/>
      </w:rPr>
      <w:tblPr/>
      <w:tcPr>
        <w:tcBorders>
          <w:top w:val="single" w:sz="4" w:space="0" w:color="D1D800" w:themeColor="accent3"/>
          <w:left w:val="single" w:sz="4" w:space="0" w:color="D1D800" w:themeColor="accent3"/>
          <w:bottom w:val="single" w:sz="4" w:space="0" w:color="D1D800" w:themeColor="accent3"/>
          <w:right w:val="single" w:sz="4" w:space="0" w:color="D1D800" w:themeColor="accent3"/>
          <w:insideH w:val="nil"/>
        </w:tcBorders>
        <w:shd w:val="clear" w:color="auto" w:fill="D1D800" w:themeFill="accent3"/>
      </w:tcPr>
    </w:tblStylePr>
    <w:tblStylePr w:type="lastRow">
      <w:rPr>
        <w:b/>
        <w:bCs/>
      </w:rPr>
      <w:tblPr/>
      <w:tcPr>
        <w:tcBorders>
          <w:top w:val="double" w:sz="4" w:space="0" w:color="F8FF4E" w:themeColor="accent3" w:themeTint="99"/>
        </w:tcBorders>
      </w:tcPr>
    </w:tblStylePr>
    <w:tblStylePr w:type="firstCol">
      <w:rPr>
        <w:b/>
        <w:bCs/>
      </w:rPr>
    </w:tblStylePr>
    <w:tblStylePr w:type="lastCol">
      <w:rPr>
        <w:b/>
        <w:bCs/>
      </w:rPr>
    </w:tblStylePr>
    <w:tblStylePr w:type="band1Vert">
      <w:tblPr/>
      <w:tcPr>
        <w:shd w:val="clear" w:color="auto" w:fill="FCFFC4" w:themeFill="accent3" w:themeFillTint="33"/>
      </w:tcPr>
    </w:tblStylePr>
    <w:tblStylePr w:type="band1Horz">
      <w:tblPr/>
      <w:tcPr>
        <w:shd w:val="clear" w:color="auto" w:fill="FCFFC4" w:themeFill="accent3" w:themeFillTint="33"/>
      </w:tcPr>
    </w:tblStylePr>
  </w:style>
  <w:style w:type="table" w:styleId="GridTable4">
    <w:name w:val="Grid Table 4"/>
    <w:basedOn w:val="TableNormal"/>
    <w:uiPriority w:val="49"/>
    <w:rsid w:val="0080298D"/>
    <w:pPr>
      <w:spacing w:after="0" w:line="240" w:lineRule="auto"/>
    </w:pPr>
    <w:tblPr>
      <w:tblStyleRowBandSize w:val="1"/>
      <w:tblStyleColBandSize w:val="1"/>
      <w:tblBorders>
        <w:top w:val="single" w:sz="4" w:space="0" w:color="46BCFF" w:themeColor="text1" w:themeTint="99"/>
        <w:left w:val="single" w:sz="4" w:space="0" w:color="46BCFF" w:themeColor="text1" w:themeTint="99"/>
        <w:bottom w:val="single" w:sz="4" w:space="0" w:color="46BCFF" w:themeColor="text1" w:themeTint="99"/>
        <w:right w:val="single" w:sz="4" w:space="0" w:color="46BCFF" w:themeColor="text1" w:themeTint="99"/>
        <w:insideH w:val="single" w:sz="4" w:space="0" w:color="46BCFF" w:themeColor="text1" w:themeTint="99"/>
        <w:insideV w:val="single" w:sz="4" w:space="0" w:color="46BCFF" w:themeColor="text1" w:themeTint="99"/>
      </w:tblBorders>
    </w:tblPr>
    <w:tblStylePr w:type="firstRow">
      <w:rPr>
        <w:b/>
        <w:bCs/>
        <w:color w:val="FFFFFF" w:themeColor="background1"/>
      </w:rPr>
      <w:tblPr/>
      <w:tcPr>
        <w:tcBorders>
          <w:top w:val="single" w:sz="4" w:space="0" w:color="0082CA" w:themeColor="text1"/>
          <w:left w:val="single" w:sz="4" w:space="0" w:color="0082CA" w:themeColor="text1"/>
          <w:bottom w:val="single" w:sz="4" w:space="0" w:color="0082CA" w:themeColor="text1"/>
          <w:right w:val="single" w:sz="4" w:space="0" w:color="0082CA" w:themeColor="text1"/>
          <w:insideH w:val="nil"/>
          <w:insideV w:val="nil"/>
        </w:tcBorders>
        <w:shd w:val="clear" w:color="auto" w:fill="0082CA" w:themeFill="text1"/>
      </w:tcPr>
    </w:tblStylePr>
    <w:tblStylePr w:type="lastRow">
      <w:rPr>
        <w:b/>
        <w:bCs/>
      </w:rPr>
      <w:tblPr/>
      <w:tcPr>
        <w:tcBorders>
          <w:top w:val="double" w:sz="4" w:space="0" w:color="0082CA" w:themeColor="text1"/>
        </w:tcBorders>
      </w:tcPr>
    </w:tblStylePr>
    <w:tblStylePr w:type="firstCol">
      <w:rPr>
        <w:b/>
        <w:bCs/>
      </w:rPr>
    </w:tblStylePr>
    <w:tblStylePr w:type="lastCol">
      <w:rPr>
        <w:b/>
        <w:bCs/>
      </w:rPr>
    </w:tblStylePr>
    <w:tblStylePr w:type="band1Vert">
      <w:tblPr/>
      <w:tcPr>
        <w:shd w:val="clear" w:color="auto" w:fill="C1E8FF" w:themeFill="text1" w:themeFillTint="33"/>
      </w:tcPr>
    </w:tblStylePr>
    <w:tblStylePr w:type="band1Horz">
      <w:tblPr/>
      <w:tcPr>
        <w:shd w:val="clear" w:color="auto" w:fill="C1E8FF" w:themeFill="text1" w:themeFillTint="33"/>
      </w:tcPr>
    </w:tblStylePr>
  </w:style>
  <w:style w:type="paragraph" w:styleId="CommentText">
    <w:name w:val="annotation text"/>
    <w:basedOn w:val="Normal"/>
    <w:link w:val="CommentTextChar"/>
    <w:uiPriority w:val="99"/>
    <w:unhideWhenUsed/>
    <w:rsid w:val="00F26C20"/>
    <w:pPr>
      <w:spacing w:line="240" w:lineRule="auto"/>
    </w:pPr>
    <w:rPr>
      <w:szCs w:val="20"/>
    </w:rPr>
  </w:style>
  <w:style w:type="character" w:customStyle="1" w:styleId="CommentTextChar">
    <w:name w:val="Comment Text Char"/>
    <w:basedOn w:val="DefaultParagraphFont"/>
    <w:link w:val="CommentText"/>
    <w:uiPriority w:val="99"/>
    <w:rsid w:val="00F26C20"/>
    <w:rPr>
      <w:rFonts w:ascii="Arial" w:eastAsiaTheme="minorEastAsia" w:hAnsi="Arial"/>
      <w:color w:val="4D4D4C"/>
      <w:sz w:val="20"/>
      <w:szCs w:val="20"/>
      <w:lang w:eastAsia="ja-JP"/>
    </w:rPr>
  </w:style>
  <w:style w:type="table" w:styleId="GridTable4-Accent3">
    <w:name w:val="Grid Table 4 Accent 3"/>
    <w:basedOn w:val="TableNormal"/>
    <w:uiPriority w:val="49"/>
    <w:rsid w:val="00355DB9"/>
    <w:pPr>
      <w:spacing w:after="0" w:line="240" w:lineRule="auto"/>
    </w:pPr>
    <w:tblPr>
      <w:tblStyleRowBandSize w:val="1"/>
      <w:tblStyleColBandSize w:val="1"/>
      <w:tblBorders>
        <w:top w:val="single" w:sz="4" w:space="0" w:color="F8FF4E" w:themeColor="accent3" w:themeTint="99"/>
        <w:left w:val="single" w:sz="4" w:space="0" w:color="F8FF4E" w:themeColor="accent3" w:themeTint="99"/>
        <w:bottom w:val="single" w:sz="4" w:space="0" w:color="F8FF4E" w:themeColor="accent3" w:themeTint="99"/>
        <w:right w:val="single" w:sz="4" w:space="0" w:color="F8FF4E" w:themeColor="accent3" w:themeTint="99"/>
        <w:insideH w:val="single" w:sz="4" w:space="0" w:color="F8FF4E" w:themeColor="accent3" w:themeTint="99"/>
        <w:insideV w:val="single" w:sz="4" w:space="0" w:color="F8FF4E" w:themeColor="accent3" w:themeTint="99"/>
      </w:tblBorders>
    </w:tblPr>
    <w:tblStylePr w:type="firstRow">
      <w:rPr>
        <w:b/>
        <w:bCs/>
        <w:color w:val="FFFFFF" w:themeColor="background1"/>
      </w:rPr>
      <w:tblPr/>
      <w:tcPr>
        <w:tcBorders>
          <w:top w:val="single" w:sz="4" w:space="0" w:color="D1D800" w:themeColor="accent3"/>
          <w:left w:val="single" w:sz="4" w:space="0" w:color="D1D800" w:themeColor="accent3"/>
          <w:bottom w:val="single" w:sz="4" w:space="0" w:color="D1D800" w:themeColor="accent3"/>
          <w:right w:val="single" w:sz="4" w:space="0" w:color="D1D800" w:themeColor="accent3"/>
          <w:insideH w:val="nil"/>
          <w:insideV w:val="nil"/>
        </w:tcBorders>
        <w:shd w:val="clear" w:color="auto" w:fill="D1D800" w:themeFill="accent3"/>
      </w:tcPr>
    </w:tblStylePr>
    <w:tblStylePr w:type="lastRow">
      <w:rPr>
        <w:b/>
        <w:bCs/>
      </w:rPr>
      <w:tblPr/>
      <w:tcPr>
        <w:tcBorders>
          <w:top w:val="double" w:sz="4" w:space="0" w:color="D1D800" w:themeColor="accent3"/>
        </w:tcBorders>
      </w:tcPr>
    </w:tblStylePr>
    <w:tblStylePr w:type="firstCol">
      <w:rPr>
        <w:b/>
        <w:bCs/>
      </w:rPr>
    </w:tblStylePr>
    <w:tblStylePr w:type="lastCol">
      <w:rPr>
        <w:b/>
        <w:bCs/>
      </w:rPr>
    </w:tblStylePr>
    <w:tblStylePr w:type="band1Vert">
      <w:tblPr/>
      <w:tcPr>
        <w:shd w:val="clear" w:color="auto" w:fill="FCFFC4" w:themeFill="accent3" w:themeFillTint="33"/>
      </w:tcPr>
    </w:tblStylePr>
    <w:tblStylePr w:type="band1Horz">
      <w:tblPr/>
      <w:tcPr>
        <w:shd w:val="clear" w:color="auto" w:fill="FCFFC4" w:themeFill="accent3" w:themeFillTint="33"/>
      </w:tcPr>
    </w:tblStylePr>
  </w:style>
  <w:style w:type="character" w:styleId="UnresolvedMention">
    <w:name w:val="Unresolved Mention"/>
    <w:basedOn w:val="DefaultParagraphFont"/>
    <w:uiPriority w:val="99"/>
    <w:rsid w:val="001841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170">
      <w:bodyDiv w:val="1"/>
      <w:marLeft w:val="0"/>
      <w:marRight w:val="0"/>
      <w:marTop w:val="0"/>
      <w:marBottom w:val="0"/>
      <w:divBdr>
        <w:top w:val="none" w:sz="0" w:space="0" w:color="auto"/>
        <w:left w:val="none" w:sz="0" w:space="0" w:color="auto"/>
        <w:bottom w:val="none" w:sz="0" w:space="0" w:color="auto"/>
        <w:right w:val="none" w:sz="0" w:space="0" w:color="auto"/>
      </w:divBdr>
    </w:div>
    <w:div w:id="3212017">
      <w:bodyDiv w:val="1"/>
      <w:marLeft w:val="0"/>
      <w:marRight w:val="0"/>
      <w:marTop w:val="0"/>
      <w:marBottom w:val="0"/>
      <w:divBdr>
        <w:top w:val="none" w:sz="0" w:space="0" w:color="auto"/>
        <w:left w:val="none" w:sz="0" w:space="0" w:color="auto"/>
        <w:bottom w:val="none" w:sz="0" w:space="0" w:color="auto"/>
        <w:right w:val="none" w:sz="0" w:space="0" w:color="auto"/>
      </w:divBdr>
    </w:div>
    <w:div w:id="4400566">
      <w:bodyDiv w:val="1"/>
      <w:marLeft w:val="0"/>
      <w:marRight w:val="0"/>
      <w:marTop w:val="0"/>
      <w:marBottom w:val="0"/>
      <w:divBdr>
        <w:top w:val="none" w:sz="0" w:space="0" w:color="auto"/>
        <w:left w:val="none" w:sz="0" w:space="0" w:color="auto"/>
        <w:bottom w:val="none" w:sz="0" w:space="0" w:color="auto"/>
        <w:right w:val="none" w:sz="0" w:space="0" w:color="auto"/>
      </w:divBdr>
    </w:div>
    <w:div w:id="7759163">
      <w:bodyDiv w:val="1"/>
      <w:marLeft w:val="0"/>
      <w:marRight w:val="0"/>
      <w:marTop w:val="0"/>
      <w:marBottom w:val="0"/>
      <w:divBdr>
        <w:top w:val="none" w:sz="0" w:space="0" w:color="auto"/>
        <w:left w:val="none" w:sz="0" w:space="0" w:color="auto"/>
        <w:bottom w:val="none" w:sz="0" w:space="0" w:color="auto"/>
        <w:right w:val="none" w:sz="0" w:space="0" w:color="auto"/>
      </w:divBdr>
      <w:divsChild>
        <w:div w:id="406416218">
          <w:marLeft w:val="547"/>
          <w:marRight w:val="0"/>
          <w:marTop w:val="0"/>
          <w:marBottom w:val="0"/>
          <w:divBdr>
            <w:top w:val="none" w:sz="0" w:space="0" w:color="auto"/>
            <w:left w:val="none" w:sz="0" w:space="0" w:color="auto"/>
            <w:bottom w:val="none" w:sz="0" w:space="0" w:color="auto"/>
            <w:right w:val="none" w:sz="0" w:space="0" w:color="auto"/>
          </w:divBdr>
        </w:div>
      </w:divsChild>
    </w:div>
    <w:div w:id="9839738">
      <w:bodyDiv w:val="1"/>
      <w:marLeft w:val="0"/>
      <w:marRight w:val="0"/>
      <w:marTop w:val="0"/>
      <w:marBottom w:val="0"/>
      <w:divBdr>
        <w:top w:val="none" w:sz="0" w:space="0" w:color="auto"/>
        <w:left w:val="none" w:sz="0" w:space="0" w:color="auto"/>
        <w:bottom w:val="none" w:sz="0" w:space="0" w:color="auto"/>
        <w:right w:val="none" w:sz="0" w:space="0" w:color="auto"/>
      </w:divBdr>
    </w:div>
    <w:div w:id="11419492">
      <w:bodyDiv w:val="1"/>
      <w:marLeft w:val="0"/>
      <w:marRight w:val="0"/>
      <w:marTop w:val="0"/>
      <w:marBottom w:val="0"/>
      <w:divBdr>
        <w:top w:val="none" w:sz="0" w:space="0" w:color="auto"/>
        <w:left w:val="none" w:sz="0" w:space="0" w:color="auto"/>
        <w:bottom w:val="none" w:sz="0" w:space="0" w:color="auto"/>
        <w:right w:val="none" w:sz="0" w:space="0" w:color="auto"/>
      </w:divBdr>
    </w:div>
    <w:div w:id="15814875">
      <w:bodyDiv w:val="1"/>
      <w:marLeft w:val="0"/>
      <w:marRight w:val="0"/>
      <w:marTop w:val="0"/>
      <w:marBottom w:val="0"/>
      <w:divBdr>
        <w:top w:val="none" w:sz="0" w:space="0" w:color="auto"/>
        <w:left w:val="none" w:sz="0" w:space="0" w:color="auto"/>
        <w:bottom w:val="none" w:sz="0" w:space="0" w:color="auto"/>
        <w:right w:val="none" w:sz="0" w:space="0" w:color="auto"/>
      </w:divBdr>
    </w:div>
    <w:div w:id="16857267">
      <w:bodyDiv w:val="1"/>
      <w:marLeft w:val="0"/>
      <w:marRight w:val="0"/>
      <w:marTop w:val="0"/>
      <w:marBottom w:val="0"/>
      <w:divBdr>
        <w:top w:val="none" w:sz="0" w:space="0" w:color="auto"/>
        <w:left w:val="none" w:sz="0" w:space="0" w:color="auto"/>
        <w:bottom w:val="none" w:sz="0" w:space="0" w:color="auto"/>
        <w:right w:val="none" w:sz="0" w:space="0" w:color="auto"/>
      </w:divBdr>
    </w:div>
    <w:div w:id="18896788">
      <w:bodyDiv w:val="1"/>
      <w:marLeft w:val="0"/>
      <w:marRight w:val="0"/>
      <w:marTop w:val="0"/>
      <w:marBottom w:val="0"/>
      <w:divBdr>
        <w:top w:val="none" w:sz="0" w:space="0" w:color="auto"/>
        <w:left w:val="none" w:sz="0" w:space="0" w:color="auto"/>
        <w:bottom w:val="none" w:sz="0" w:space="0" w:color="auto"/>
        <w:right w:val="none" w:sz="0" w:space="0" w:color="auto"/>
      </w:divBdr>
    </w:div>
    <w:div w:id="21905530">
      <w:bodyDiv w:val="1"/>
      <w:marLeft w:val="0"/>
      <w:marRight w:val="0"/>
      <w:marTop w:val="0"/>
      <w:marBottom w:val="0"/>
      <w:divBdr>
        <w:top w:val="none" w:sz="0" w:space="0" w:color="auto"/>
        <w:left w:val="none" w:sz="0" w:space="0" w:color="auto"/>
        <w:bottom w:val="none" w:sz="0" w:space="0" w:color="auto"/>
        <w:right w:val="none" w:sz="0" w:space="0" w:color="auto"/>
      </w:divBdr>
    </w:div>
    <w:div w:id="27294640">
      <w:bodyDiv w:val="1"/>
      <w:marLeft w:val="0"/>
      <w:marRight w:val="0"/>
      <w:marTop w:val="0"/>
      <w:marBottom w:val="0"/>
      <w:divBdr>
        <w:top w:val="none" w:sz="0" w:space="0" w:color="auto"/>
        <w:left w:val="none" w:sz="0" w:space="0" w:color="auto"/>
        <w:bottom w:val="none" w:sz="0" w:space="0" w:color="auto"/>
        <w:right w:val="none" w:sz="0" w:space="0" w:color="auto"/>
      </w:divBdr>
    </w:div>
    <w:div w:id="29843740">
      <w:bodyDiv w:val="1"/>
      <w:marLeft w:val="0"/>
      <w:marRight w:val="0"/>
      <w:marTop w:val="0"/>
      <w:marBottom w:val="0"/>
      <w:divBdr>
        <w:top w:val="none" w:sz="0" w:space="0" w:color="auto"/>
        <w:left w:val="none" w:sz="0" w:space="0" w:color="auto"/>
        <w:bottom w:val="none" w:sz="0" w:space="0" w:color="auto"/>
        <w:right w:val="none" w:sz="0" w:space="0" w:color="auto"/>
      </w:divBdr>
    </w:div>
    <w:div w:id="30347397">
      <w:bodyDiv w:val="1"/>
      <w:marLeft w:val="0"/>
      <w:marRight w:val="0"/>
      <w:marTop w:val="0"/>
      <w:marBottom w:val="0"/>
      <w:divBdr>
        <w:top w:val="none" w:sz="0" w:space="0" w:color="auto"/>
        <w:left w:val="none" w:sz="0" w:space="0" w:color="auto"/>
        <w:bottom w:val="none" w:sz="0" w:space="0" w:color="auto"/>
        <w:right w:val="none" w:sz="0" w:space="0" w:color="auto"/>
      </w:divBdr>
    </w:div>
    <w:div w:id="30690170">
      <w:bodyDiv w:val="1"/>
      <w:marLeft w:val="0"/>
      <w:marRight w:val="0"/>
      <w:marTop w:val="0"/>
      <w:marBottom w:val="0"/>
      <w:divBdr>
        <w:top w:val="none" w:sz="0" w:space="0" w:color="auto"/>
        <w:left w:val="none" w:sz="0" w:space="0" w:color="auto"/>
        <w:bottom w:val="none" w:sz="0" w:space="0" w:color="auto"/>
        <w:right w:val="none" w:sz="0" w:space="0" w:color="auto"/>
      </w:divBdr>
    </w:div>
    <w:div w:id="31538910">
      <w:bodyDiv w:val="1"/>
      <w:marLeft w:val="0"/>
      <w:marRight w:val="0"/>
      <w:marTop w:val="0"/>
      <w:marBottom w:val="0"/>
      <w:divBdr>
        <w:top w:val="none" w:sz="0" w:space="0" w:color="auto"/>
        <w:left w:val="none" w:sz="0" w:space="0" w:color="auto"/>
        <w:bottom w:val="none" w:sz="0" w:space="0" w:color="auto"/>
        <w:right w:val="none" w:sz="0" w:space="0" w:color="auto"/>
      </w:divBdr>
    </w:div>
    <w:div w:id="32076669">
      <w:bodyDiv w:val="1"/>
      <w:marLeft w:val="0"/>
      <w:marRight w:val="0"/>
      <w:marTop w:val="0"/>
      <w:marBottom w:val="0"/>
      <w:divBdr>
        <w:top w:val="none" w:sz="0" w:space="0" w:color="auto"/>
        <w:left w:val="none" w:sz="0" w:space="0" w:color="auto"/>
        <w:bottom w:val="none" w:sz="0" w:space="0" w:color="auto"/>
        <w:right w:val="none" w:sz="0" w:space="0" w:color="auto"/>
      </w:divBdr>
    </w:div>
    <w:div w:id="34472921">
      <w:bodyDiv w:val="1"/>
      <w:marLeft w:val="0"/>
      <w:marRight w:val="0"/>
      <w:marTop w:val="0"/>
      <w:marBottom w:val="0"/>
      <w:divBdr>
        <w:top w:val="none" w:sz="0" w:space="0" w:color="auto"/>
        <w:left w:val="none" w:sz="0" w:space="0" w:color="auto"/>
        <w:bottom w:val="none" w:sz="0" w:space="0" w:color="auto"/>
        <w:right w:val="none" w:sz="0" w:space="0" w:color="auto"/>
      </w:divBdr>
    </w:div>
    <w:div w:id="36585269">
      <w:bodyDiv w:val="1"/>
      <w:marLeft w:val="0"/>
      <w:marRight w:val="0"/>
      <w:marTop w:val="0"/>
      <w:marBottom w:val="0"/>
      <w:divBdr>
        <w:top w:val="none" w:sz="0" w:space="0" w:color="auto"/>
        <w:left w:val="none" w:sz="0" w:space="0" w:color="auto"/>
        <w:bottom w:val="none" w:sz="0" w:space="0" w:color="auto"/>
        <w:right w:val="none" w:sz="0" w:space="0" w:color="auto"/>
      </w:divBdr>
    </w:div>
    <w:div w:id="37629136">
      <w:bodyDiv w:val="1"/>
      <w:marLeft w:val="0"/>
      <w:marRight w:val="0"/>
      <w:marTop w:val="0"/>
      <w:marBottom w:val="0"/>
      <w:divBdr>
        <w:top w:val="none" w:sz="0" w:space="0" w:color="auto"/>
        <w:left w:val="none" w:sz="0" w:space="0" w:color="auto"/>
        <w:bottom w:val="none" w:sz="0" w:space="0" w:color="auto"/>
        <w:right w:val="none" w:sz="0" w:space="0" w:color="auto"/>
      </w:divBdr>
    </w:div>
    <w:div w:id="41827919">
      <w:bodyDiv w:val="1"/>
      <w:marLeft w:val="0"/>
      <w:marRight w:val="0"/>
      <w:marTop w:val="0"/>
      <w:marBottom w:val="0"/>
      <w:divBdr>
        <w:top w:val="none" w:sz="0" w:space="0" w:color="auto"/>
        <w:left w:val="none" w:sz="0" w:space="0" w:color="auto"/>
        <w:bottom w:val="none" w:sz="0" w:space="0" w:color="auto"/>
        <w:right w:val="none" w:sz="0" w:space="0" w:color="auto"/>
      </w:divBdr>
    </w:div>
    <w:div w:id="42171426">
      <w:bodyDiv w:val="1"/>
      <w:marLeft w:val="0"/>
      <w:marRight w:val="0"/>
      <w:marTop w:val="0"/>
      <w:marBottom w:val="0"/>
      <w:divBdr>
        <w:top w:val="none" w:sz="0" w:space="0" w:color="auto"/>
        <w:left w:val="none" w:sz="0" w:space="0" w:color="auto"/>
        <w:bottom w:val="none" w:sz="0" w:space="0" w:color="auto"/>
        <w:right w:val="none" w:sz="0" w:space="0" w:color="auto"/>
      </w:divBdr>
    </w:div>
    <w:div w:id="43215782">
      <w:bodyDiv w:val="1"/>
      <w:marLeft w:val="0"/>
      <w:marRight w:val="0"/>
      <w:marTop w:val="0"/>
      <w:marBottom w:val="0"/>
      <w:divBdr>
        <w:top w:val="none" w:sz="0" w:space="0" w:color="auto"/>
        <w:left w:val="none" w:sz="0" w:space="0" w:color="auto"/>
        <w:bottom w:val="none" w:sz="0" w:space="0" w:color="auto"/>
        <w:right w:val="none" w:sz="0" w:space="0" w:color="auto"/>
      </w:divBdr>
    </w:div>
    <w:div w:id="47413166">
      <w:bodyDiv w:val="1"/>
      <w:marLeft w:val="0"/>
      <w:marRight w:val="0"/>
      <w:marTop w:val="0"/>
      <w:marBottom w:val="0"/>
      <w:divBdr>
        <w:top w:val="none" w:sz="0" w:space="0" w:color="auto"/>
        <w:left w:val="none" w:sz="0" w:space="0" w:color="auto"/>
        <w:bottom w:val="none" w:sz="0" w:space="0" w:color="auto"/>
        <w:right w:val="none" w:sz="0" w:space="0" w:color="auto"/>
      </w:divBdr>
    </w:div>
    <w:div w:id="48505826">
      <w:bodyDiv w:val="1"/>
      <w:marLeft w:val="0"/>
      <w:marRight w:val="0"/>
      <w:marTop w:val="0"/>
      <w:marBottom w:val="0"/>
      <w:divBdr>
        <w:top w:val="none" w:sz="0" w:space="0" w:color="auto"/>
        <w:left w:val="none" w:sz="0" w:space="0" w:color="auto"/>
        <w:bottom w:val="none" w:sz="0" w:space="0" w:color="auto"/>
        <w:right w:val="none" w:sz="0" w:space="0" w:color="auto"/>
      </w:divBdr>
    </w:div>
    <w:div w:id="50009926">
      <w:bodyDiv w:val="1"/>
      <w:marLeft w:val="0"/>
      <w:marRight w:val="0"/>
      <w:marTop w:val="0"/>
      <w:marBottom w:val="0"/>
      <w:divBdr>
        <w:top w:val="none" w:sz="0" w:space="0" w:color="auto"/>
        <w:left w:val="none" w:sz="0" w:space="0" w:color="auto"/>
        <w:bottom w:val="none" w:sz="0" w:space="0" w:color="auto"/>
        <w:right w:val="none" w:sz="0" w:space="0" w:color="auto"/>
      </w:divBdr>
    </w:div>
    <w:div w:id="52314854">
      <w:bodyDiv w:val="1"/>
      <w:marLeft w:val="0"/>
      <w:marRight w:val="0"/>
      <w:marTop w:val="0"/>
      <w:marBottom w:val="0"/>
      <w:divBdr>
        <w:top w:val="none" w:sz="0" w:space="0" w:color="auto"/>
        <w:left w:val="none" w:sz="0" w:space="0" w:color="auto"/>
        <w:bottom w:val="none" w:sz="0" w:space="0" w:color="auto"/>
        <w:right w:val="none" w:sz="0" w:space="0" w:color="auto"/>
      </w:divBdr>
    </w:div>
    <w:div w:id="57481574">
      <w:bodyDiv w:val="1"/>
      <w:marLeft w:val="0"/>
      <w:marRight w:val="0"/>
      <w:marTop w:val="0"/>
      <w:marBottom w:val="0"/>
      <w:divBdr>
        <w:top w:val="none" w:sz="0" w:space="0" w:color="auto"/>
        <w:left w:val="none" w:sz="0" w:space="0" w:color="auto"/>
        <w:bottom w:val="none" w:sz="0" w:space="0" w:color="auto"/>
        <w:right w:val="none" w:sz="0" w:space="0" w:color="auto"/>
      </w:divBdr>
    </w:div>
    <w:div w:id="62996269">
      <w:bodyDiv w:val="1"/>
      <w:marLeft w:val="0"/>
      <w:marRight w:val="0"/>
      <w:marTop w:val="0"/>
      <w:marBottom w:val="0"/>
      <w:divBdr>
        <w:top w:val="none" w:sz="0" w:space="0" w:color="auto"/>
        <w:left w:val="none" w:sz="0" w:space="0" w:color="auto"/>
        <w:bottom w:val="none" w:sz="0" w:space="0" w:color="auto"/>
        <w:right w:val="none" w:sz="0" w:space="0" w:color="auto"/>
      </w:divBdr>
    </w:div>
    <w:div w:id="63265225">
      <w:bodyDiv w:val="1"/>
      <w:marLeft w:val="0"/>
      <w:marRight w:val="0"/>
      <w:marTop w:val="0"/>
      <w:marBottom w:val="0"/>
      <w:divBdr>
        <w:top w:val="none" w:sz="0" w:space="0" w:color="auto"/>
        <w:left w:val="none" w:sz="0" w:space="0" w:color="auto"/>
        <w:bottom w:val="none" w:sz="0" w:space="0" w:color="auto"/>
        <w:right w:val="none" w:sz="0" w:space="0" w:color="auto"/>
      </w:divBdr>
    </w:div>
    <w:div w:id="64451818">
      <w:bodyDiv w:val="1"/>
      <w:marLeft w:val="0"/>
      <w:marRight w:val="0"/>
      <w:marTop w:val="0"/>
      <w:marBottom w:val="0"/>
      <w:divBdr>
        <w:top w:val="none" w:sz="0" w:space="0" w:color="auto"/>
        <w:left w:val="none" w:sz="0" w:space="0" w:color="auto"/>
        <w:bottom w:val="none" w:sz="0" w:space="0" w:color="auto"/>
        <w:right w:val="none" w:sz="0" w:space="0" w:color="auto"/>
      </w:divBdr>
    </w:div>
    <w:div w:id="64843127">
      <w:bodyDiv w:val="1"/>
      <w:marLeft w:val="0"/>
      <w:marRight w:val="0"/>
      <w:marTop w:val="0"/>
      <w:marBottom w:val="0"/>
      <w:divBdr>
        <w:top w:val="none" w:sz="0" w:space="0" w:color="auto"/>
        <w:left w:val="none" w:sz="0" w:space="0" w:color="auto"/>
        <w:bottom w:val="none" w:sz="0" w:space="0" w:color="auto"/>
        <w:right w:val="none" w:sz="0" w:space="0" w:color="auto"/>
      </w:divBdr>
    </w:div>
    <w:div w:id="67852441">
      <w:bodyDiv w:val="1"/>
      <w:marLeft w:val="0"/>
      <w:marRight w:val="0"/>
      <w:marTop w:val="0"/>
      <w:marBottom w:val="0"/>
      <w:divBdr>
        <w:top w:val="none" w:sz="0" w:space="0" w:color="auto"/>
        <w:left w:val="none" w:sz="0" w:space="0" w:color="auto"/>
        <w:bottom w:val="none" w:sz="0" w:space="0" w:color="auto"/>
        <w:right w:val="none" w:sz="0" w:space="0" w:color="auto"/>
      </w:divBdr>
    </w:div>
    <w:div w:id="72750517">
      <w:bodyDiv w:val="1"/>
      <w:marLeft w:val="0"/>
      <w:marRight w:val="0"/>
      <w:marTop w:val="0"/>
      <w:marBottom w:val="0"/>
      <w:divBdr>
        <w:top w:val="none" w:sz="0" w:space="0" w:color="auto"/>
        <w:left w:val="none" w:sz="0" w:space="0" w:color="auto"/>
        <w:bottom w:val="none" w:sz="0" w:space="0" w:color="auto"/>
        <w:right w:val="none" w:sz="0" w:space="0" w:color="auto"/>
      </w:divBdr>
    </w:div>
    <w:div w:id="73210235">
      <w:bodyDiv w:val="1"/>
      <w:marLeft w:val="0"/>
      <w:marRight w:val="0"/>
      <w:marTop w:val="0"/>
      <w:marBottom w:val="0"/>
      <w:divBdr>
        <w:top w:val="none" w:sz="0" w:space="0" w:color="auto"/>
        <w:left w:val="none" w:sz="0" w:space="0" w:color="auto"/>
        <w:bottom w:val="none" w:sz="0" w:space="0" w:color="auto"/>
        <w:right w:val="none" w:sz="0" w:space="0" w:color="auto"/>
      </w:divBdr>
    </w:div>
    <w:div w:id="73821189">
      <w:bodyDiv w:val="1"/>
      <w:marLeft w:val="0"/>
      <w:marRight w:val="0"/>
      <w:marTop w:val="0"/>
      <w:marBottom w:val="0"/>
      <w:divBdr>
        <w:top w:val="none" w:sz="0" w:space="0" w:color="auto"/>
        <w:left w:val="none" w:sz="0" w:space="0" w:color="auto"/>
        <w:bottom w:val="none" w:sz="0" w:space="0" w:color="auto"/>
        <w:right w:val="none" w:sz="0" w:space="0" w:color="auto"/>
      </w:divBdr>
    </w:div>
    <w:div w:id="74908993">
      <w:bodyDiv w:val="1"/>
      <w:marLeft w:val="0"/>
      <w:marRight w:val="0"/>
      <w:marTop w:val="0"/>
      <w:marBottom w:val="0"/>
      <w:divBdr>
        <w:top w:val="none" w:sz="0" w:space="0" w:color="auto"/>
        <w:left w:val="none" w:sz="0" w:space="0" w:color="auto"/>
        <w:bottom w:val="none" w:sz="0" w:space="0" w:color="auto"/>
        <w:right w:val="none" w:sz="0" w:space="0" w:color="auto"/>
      </w:divBdr>
    </w:div>
    <w:div w:id="78478935">
      <w:bodyDiv w:val="1"/>
      <w:marLeft w:val="0"/>
      <w:marRight w:val="0"/>
      <w:marTop w:val="0"/>
      <w:marBottom w:val="0"/>
      <w:divBdr>
        <w:top w:val="none" w:sz="0" w:space="0" w:color="auto"/>
        <w:left w:val="none" w:sz="0" w:space="0" w:color="auto"/>
        <w:bottom w:val="none" w:sz="0" w:space="0" w:color="auto"/>
        <w:right w:val="none" w:sz="0" w:space="0" w:color="auto"/>
      </w:divBdr>
    </w:div>
    <w:div w:id="83041693">
      <w:bodyDiv w:val="1"/>
      <w:marLeft w:val="0"/>
      <w:marRight w:val="0"/>
      <w:marTop w:val="0"/>
      <w:marBottom w:val="0"/>
      <w:divBdr>
        <w:top w:val="none" w:sz="0" w:space="0" w:color="auto"/>
        <w:left w:val="none" w:sz="0" w:space="0" w:color="auto"/>
        <w:bottom w:val="none" w:sz="0" w:space="0" w:color="auto"/>
        <w:right w:val="none" w:sz="0" w:space="0" w:color="auto"/>
      </w:divBdr>
    </w:div>
    <w:div w:id="83651703">
      <w:bodyDiv w:val="1"/>
      <w:marLeft w:val="0"/>
      <w:marRight w:val="0"/>
      <w:marTop w:val="0"/>
      <w:marBottom w:val="0"/>
      <w:divBdr>
        <w:top w:val="none" w:sz="0" w:space="0" w:color="auto"/>
        <w:left w:val="none" w:sz="0" w:space="0" w:color="auto"/>
        <w:bottom w:val="none" w:sz="0" w:space="0" w:color="auto"/>
        <w:right w:val="none" w:sz="0" w:space="0" w:color="auto"/>
      </w:divBdr>
    </w:div>
    <w:div w:id="84494480">
      <w:bodyDiv w:val="1"/>
      <w:marLeft w:val="0"/>
      <w:marRight w:val="0"/>
      <w:marTop w:val="0"/>
      <w:marBottom w:val="0"/>
      <w:divBdr>
        <w:top w:val="none" w:sz="0" w:space="0" w:color="auto"/>
        <w:left w:val="none" w:sz="0" w:space="0" w:color="auto"/>
        <w:bottom w:val="none" w:sz="0" w:space="0" w:color="auto"/>
        <w:right w:val="none" w:sz="0" w:space="0" w:color="auto"/>
      </w:divBdr>
    </w:div>
    <w:div w:id="84962244">
      <w:bodyDiv w:val="1"/>
      <w:marLeft w:val="0"/>
      <w:marRight w:val="0"/>
      <w:marTop w:val="0"/>
      <w:marBottom w:val="0"/>
      <w:divBdr>
        <w:top w:val="none" w:sz="0" w:space="0" w:color="auto"/>
        <w:left w:val="none" w:sz="0" w:space="0" w:color="auto"/>
        <w:bottom w:val="none" w:sz="0" w:space="0" w:color="auto"/>
        <w:right w:val="none" w:sz="0" w:space="0" w:color="auto"/>
      </w:divBdr>
    </w:div>
    <w:div w:id="93403677">
      <w:bodyDiv w:val="1"/>
      <w:marLeft w:val="0"/>
      <w:marRight w:val="0"/>
      <w:marTop w:val="0"/>
      <w:marBottom w:val="0"/>
      <w:divBdr>
        <w:top w:val="none" w:sz="0" w:space="0" w:color="auto"/>
        <w:left w:val="none" w:sz="0" w:space="0" w:color="auto"/>
        <w:bottom w:val="none" w:sz="0" w:space="0" w:color="auto"/>
        <w:right w:val="none" w:sz="0" w:space="0" w:color="auto"/>
      </w:divBdr>
    </w:div>
    <w:div w:id="96564644">
      <w:bodyDiv w:val="1"/>
      <w:marLeft w:val="0"/>
      <w:marRight w:val="0"/>
      <w:marTop w:val="0"/>
      <w:marBottom w:val="0"/>
      <w:divBdr>
        <w:top w:val="none" w:sz="0" w:space="0" w:color="auto"/>
        <w:left w:val="none" w:sz="0" w:space="0" w:color="auto"/>
        <w:bottom w:val="none" w:sz="0" w:space="0" w:color="auto"/>
        <w:right w:val="none" w:sz="0" w:space="0" w:color="auto"/>
      </w:divBdr>
    </w:div>
    <w:div w:id="98835182">
      <w:bodyDiv w:val="1"/>
      <w:marLeft w:val="0"/>
      <w:marRight w:val="0"/>
      <w:marTop w:val="0"/>
      <w:marBottom w:val="0"/>
      <w:divBdr>
        <w:top w:val="none" w:sz="0" w:space="0" w:color="auto"/>
        <w:left w:val="none" w:sz="0" w:space="0" w:color="auto"/>
        <w:bottom w:val="none" w:sz="0" w:space="0" w:color="auto"/>
        <w:right w:val="none" w:sz="0" w:space="0" w:color="auto"/>
      </w:divBdr>
    </w:div>
    <w:div w:id="102504973">
      <w:bodyDiv w:val="1"/>
      <w:marLeft w:val="0"/>
      <w:marRight w:val="0"/>
      <w:marTop w:val="0"/>
      <w:marBottom w:val="0"/>
      <w:divBdr>
        <w:top w:val="none" w:sz="0" w:space="0" w:color="auto"/>
        <w:left w:val="none" w:sz="0" w:space="0" w:color="auto"/>
        <w:bottom w:val="none" w:sz="0" w:space="0" w:color="auto"/>
        <w:right w:val="none" w:sz="0" w:space="0" w:color="auto"/>
      </w:divBdr>
    </w:div>
    <w:div w:id="104543516">
      <w:bodyDiv w:val="1"/>
      <w:marLeft w:val="0"/>
      <w:marRight w:val="0"/>
      <w:marTop w:val="0"/>
      <w:marBottom w:val="0"/>
      <w:divBdr>
        <w:top w:val="none" w:sz="0" w:space="0" w:color="auto"/>
        <w:left w:val="none" w:sz="0" w:space="0" w:color="auto"/>
        <w:bottom w:val="none" w:sz="0" w:space="0" w:color="auto"/>
        <w:right w:val="none" w:sz="0" w:space="0" w:color="auto"/>
      </w:divBdr>
    </w:div>
    <w:div w:id="104736809">
      <w:bodyDiv w:val="1"/>
      <w:marLeft w:val="0"/>
      <w:marRight w:val="0"/>
      <w:marTop w:val="0"/>
      <w:marBottom w:val="0"/>
      <w:divBdr>
        <w:top w:val="none" w:sz="0" w:space="0" w:color="auto"/>
        <w:left w:val="none" w:sz="0" w:space="0" w:color="auto"/>
        <w:bottom w:val="none" w:sz="0" w:space="0" w:color="auto"/>
        <w:right w:val="none" w:sz="0" w:space="0" w:color="auto"/>
      </w:divBdr>
    </w:div>
    <w:div w:id="104815506">
      <w:bodyDiv w:val="1"/>
      <w:marLeft w:val="0"/>
      <w:marRight w:val="0"/>
      <w:marTop w:val="0"/>
      <w:marBottom w:val="0"/>
      <w:divBdr>
        <w:top w:val="none" w:sz="0" w:space="0" w:color="auto"/>
        <w:left w:val="none" w:sz="0" w:space="0" w:color="auto"/>
        <w:bottom w:val="none" w:sz="0" w:space="0" w:color="auto"/>
        <w:right w:val="none" w:sz="0" w:space="0" w:color="auto"/>
      </w:divBdr>
    </w:div>
    <w:div w:id="105858738">
      <w:bodyDiv w:val="1"/>
      <w:marLeft w:val="0"/>
      <w:marRight w:val="0"/>
      <w:marTop w:val="0"/>
      <w:marBottom w:val="0"/>
      <w:divBdr>
        <w:top w:val="none" w:sz="0" w:space="0" w:color="auto"/>
        <w:left w:val="none" w:sz="0" w:space="0" w:color="auto"/>
        <w:bottom w:val="none" w:sz="0" w:space="0" w:color="auto"/>
        <w:right w:val="none" w:sz="0" w:space="0" w:color="auto"/>
      </w:divBdr>
    </w:div>
    <w:div w:id="106238162">
      <w:bodyDiv w:val="1"/>
      <w:marLeft w:val="0"/>
      <w:marRight w:val="0"/>
      <w:marTop w:val="0"/>
      <w:marBottom w:val="0"/>
      <w:divBdr>
        <w:top w:val="none" w:sz="0" w:space="0" w:color="auto"/>
        <w:left w:val="none" w:sz="0" w:space="0" w:color="auto"/>
        <w:bottom w:val="none" w:sz="0" w:space="0" w:color="auto"/>
        <w:right w:val="none" w:sz="0" w:space="0" w:color="auto"/>
      </w:divBdr>
    </w:div>
    <w:div w:id="106900280">
      <w:bodyDiv w:val="1"/>
      <w:marLeft w:val="0"/>
      <w:marRight w:val="0"/>
      <w:marTop w:val="0"/>
      <w:marBottom w:val="0"/>
      <w:divBdr>
        <w:top w:val="none" w:sz="0" w:space="0" w:color="auto"/>
        <w:left w:val="none" w:sz="0" w:space="0" w:color="auto"/>
        <w:bottom w:val="none" w:sz="0" w:space="0" w:color="auto"/>
        <w:right w:val="none" w:sz="0" w:space="0" w:color="auto"/>
      </w:divBdr>
    </w:div>
    <w:div w:id="115413901">
      <w:bodyDiv w:val="1"/>
      <w:marLeft w:val="0"/>
      <w:marRight w:val="0"/>
      <w:marTop w:val="0"/>
      <w:marBottom w:val="0"/>
      <w:divBdr>
        <w:top w:val="none" w:sz="0" w:space="0" w:color="auto"/>
        <w:left w:val="none" w:sz="0" w:space="0" w:color="auto"/>
        <w:bottom w:val="none" w:sz="0" w:space="0" w:color="auto"/>
        <w:right w:val="none" w:sz="0" w:space="0" w:color="auto"/>
      </w:divBdr>
    </w:div>
    <w:div w:id="116293408">
      <w:bodyDiv w:val="1"/>
      <w:marLeft w:val="0"/>
      <w:marRight w:val="0"/>
      <w:marTop w:val="0"/>
      <w:marBottom w:val="0"/>
      <w:divBdr>
        <w:top w:val="none" w:sz="0" w:space="0" w:color="auto"/>
        <w:left w:val="none" w:sz="0" w:space="0" w:color="auto"/>
        <w:bottom w:val="none" w:sz="0" w:space="0" w:color="auto"/>
        <w:right w:val="none" w:sz="0" w:space="0" w:color="auto"/>
      </w:divBdr>
    </w:div>
    <w:div w:id="119807626">
      <w:bodyDiv w:val="1"/>
      <w:marLeft w:val="0"/>
      <w:marRight w:val="0"/>
      <w:marTop w:val="0"/>
      <w:marBottom w:val="0"/>
      <w:divBdr>
        <w:top w:val="none" w:sz="0" w:space="0" w:color="auto"/>
        <w:left w:val="none" w:sz="0" w:space="0" w:color="auto"/>
        <w:bottom w:val="none" w:sz="0" w:space="0" w:color="auto"/>
        <w:right w:val="none" w:sz="0" w:space="0" w:color="auto"/>
      </w:divBdr>
    </w:div>
    <w:div w:id="121504933">
      <w:bodyDiv w:val="1"/>
      <w:marLeft w:val="0"/>
      <w:marRight w:val="0"/>
      <w:marTop w:val="0"/>
      <w:marBottom w:val="0"/>
      <w:divBdr>
        <w:top w:val="none" w:sz="0" w:space="0" w:color="auto"/>
        <w:left w:val="none" w:sz="0" w:space="0" w:color="auto"/>
        <w:bottom w:val="none" w:sz="0" w:space="0" w:color="auto"/>
        <w:right w:val="none" w:sz="0" w:space="0" w:color="auto"/>
      </w:divBdr>
    </w:div>
    <w:div w:id="122889362">
      <w:bodyDiv w:val="1"/>
      <w:marLeft w:val="0"/>
      <w:marRight w:val="0"/>
      <w:marTop w:val="0"/>
      <w:marBottom w:val="0"/>
      <w:divBdr>
        <w:top w:val="none" w:sz="0" w:space="0" w:color="auto"/>
        <w:left w:val="none" w:sz="0" w:space="0" w:color="auto"/>
        <w:bottom w:val="none" w:sz="0" w:space="0" w:color="auto"/>
        <w:right w:val="none" w:sz="0" w:space="0" w:color="auto"/>
      </w:divBdr>
    </w:div>
    <w:div w:id="127363931">
      <w:bodyDiv w:val="1"/>
      <w:marLeft w:val="0"/>
      <w:marRight w:val="0"/>
      <w:marTop w:val="0"/>
      <w:marBottom w:val="0"/>
      <w:divBdr>
        <w:top w:val="none" w:sz="0" w:space="0" w:color="auto"/>
        <w:left w:val="none" w:sz="0" w:space="0" w:color="auto"/>
        <w:bottom w:val="none" w:sz="0" w:space="0" w:color="auto"/>
        <w:right w:val="none" w:sz="0" w:space="0" w:color="auto"/>
      </w:divBdr>
    </w:div>
    <w:div w:id="128283691">
      <w:bodyDiv w:val="1"/>
      <w:marLeft w:val="0"/>
      <w:marRight w:val="0"/>
      <w:marTop w:val="0"/>
      <w:marBottom w:val="0"/>
      <w:divBdr>
        <w:top w:val="none" w:sz="0" w:space="0" w:color="auto"/>
        <w:left w:val="none" w:sz="0" w:space="0" w:color="auto"/>
        <w:bottom w:val="none" w:sz="0" w:space="0" w:color="auto"/>
        <w:right w:val="none" w:sz="0" w:space="0" w:color="auto"/>
      </w:divBdr>
    </w:div>
    <w:div w:id="129173201">
      <w:bodyDiv w:val="1"/>
      <w:marLeft w:val="0"/>
      <w:marRight w:val="0"/>
      <w:marTop w:val="0"/>
      <w:marBottom w:val="0"/>
      <w:divBdr>
        <w:top w:val="none" w:sz="0" w:space="0" w:color="auto"/>
        <w:left w:val="none" w:sz="0" w:space="0" w:color="auto"/>
        <w:bottom w:val="none" w:sz="0" w:space="0" w:color="auto"/>
        <w:right w:val="none" w:sz="0" w:space="0" w:color="auto"/>
      </w:divBdr>
    </w:div>
    <w:div w:id="129325407">
      <w:bodyDiv w:val="1"/>
      <w:marLeft w:val="0"/>
      <w:marRight w:val="0"/>
      <w:marTop w:val="0"/>
      <w:marBottom w:val="0"/>
      <w:divBdr>
        <w:top w:val="none" w:sz="0" w:space="0" w:color="auto"/>
        <w:left w:val="none" w:sz="0" w:space="0" w:color="auto"/>
        <w:bottom w:val="none" w:sz="0" w:space="0" w:color="auto"/>
        <w:right w:val="none" w:sz="0" w:space="0" w:color="auto"/>
      </w:divBdr>
    </w:div>
    <w:div w:id="131407433">
      <w:bodyDiv w:val="1"/>
      <w:marLeft w:val="0"/>
      <w:marRight w:val="0"/>
      <w:marTop w:val="0"/>
      <w:marBottom w:val="0"/>
      <w:divBdr>
        <w:top w:val="none" w:sz="0" w:space="0" w:color="auto"/>
        <w:left w:val="none" w:sz="0" w:space="0" w:color="auto"/>
        <w:bottom w:val="none" w:sz="0" w:space="0" w:color="auto"/>
        <w:right w:val="none" w:sz="0" w:space="0" w:color="auto"/>
      </w:divBdr>
    </w:div>
    <w:div w:id="133641273">
      <w:bodyDiv w:val="1"/>
      <w:marLeft w:val="0"/>
      <w:marRight w:val="0"/>
      <w:marTop w:val="0"/>
      <w:marBottom w:val="0"/>
      <w:divBdr>
        <w:top w:val="none" w:sz="0" w:space="0" w:color="auto"/>
        <w:left w:val="none" w:sz="0" w:space="0" w:color="auto"/>
        <w:bottom w:val="none" w:sz="0" w:space="0" w:color="auto"/>
        <w:right w:val="none" w:sz="0" w:space="0" w:color="auto"/>
      </w:divBdr>
    </w:div>
    <w:div w:id="134295539">
      <w:bodyDiv w:val="1"/>
      <w:marLeft w:val="0"/>
      <w:marRight w:val="0"/>
      <w:marTop w:val="0"/>
      <w:marBottom w:val="0"/>
      <w:divBdr>
        <w:top w:val="none" w:sz="0" w:space="0" w:color="auto"/>
        <w:left w:val="none" w:sz="0" w:space="0" w:color="auto"/>
        <w:bottom w:val="none" w:sz="0" w:space="0" w:color="auto"/>
        <w:right w:val="none" w:sz="0" w:space="0" w:color="auto"/>
      </w:divBdr>
    </w:div>
    <w:div w:id="142814854">
      <w:bodyDiv w:val="1"/>
      <w:marLeft w:val="0"/>
      <w:marRight w:val="0"/>
      <w:marTop w:val="0"/>
      <w:marBottom w:val="0"/>
      <w:divBdr>
        <w:top w:val="none" w:sz="0" w:space="0" w:color="auto"/>
        <w:left w:val="none" w:sz="0" w:space="0" w:color="auto"/>
        <w:bottom w:val="none" w:sz="0" w:space="0" w:color="auto"/>
        <w:right w:val="none" w:sz="0" w:space="0" w:color="auto"/>
      </w:divBdr>
    </w:div>
    <w:div w:id="143202463">
      <w:bodyDiv w:val="1"/>
      <w:marLeft w:val="0"/>
      <w:marRight w:val="0"/>
      <w:marTop w:val="0"/>
      <w:marBottom w:val="0"/>
      <w:divBdr>
        <w:top w:val="none" w:sz="0" w:space="0" w:color="auto"/>
        <w:left w:val="none" w:sz="0" w:space="0" w:color="auto"/>
        <w:bottom w:val="none" w:sz="0" w:space="0" w:color="auto"/>
        <w:right w:val="none" w:sz="0" w:space="0" w:color="auto"/>
      </w:divBdr>
      <w:divsChild>
        <w:div w:id="908416213">
          <w:marLeft w:val="547"/>
          <w:marRight w:val="0"/>
          <w:marTop w:val="0"/>
          <w:marBottom w:val="0"/>
          <w:divBdr>
            <w:top w:val="none" w:sz="0" w:space="0" w:color="auto"/>
            <w:left w:val="none" w:sz="0" w:space="0" w:color="auto"/>
            <w:bottom w:val="none" w:sz="0" w:space="0" w:color="auto"/>
            <w:right w:val="none" w:sz="0" w:space="0" w:color="auto"/>
          </w:divBdr>
        </w:div>
      </w:divsChild>
    </w:div>
    <w:div w:id="151024601">
      <w:bodyDiv w:val="1"/>
      <w:marLeft w:val="0"/>
      <w:marRight w:val="0"/>
      <w:marTop w:val="0"/>
      <w:marBottom w:val="0"/>
      <w:divBdr>
        <w:top w:val="none" w:sz="0" w:space="0" w:color="auto"/>
        <w:left w:val="none" w:sz="0" w:space="0" w:color="auto"/>
        <w:bottom w:val="none" w:sz="0" w:space="0" w:color="auto"/>
        <w:right w:val="none" w:sz="0" w:space="0" w:color="auto"/>
      </w:divBdr>
    </w:div>
    <w:div w:id="152071878">
      <w:bodyDiv w:val="1"/>
      <w:marLeft w:val="0"/>
      <w:marRight w:val="0"/>
      <w:marTop w:val="0"/>
      <w:marBottom w:val="0"/>
      <w:divBdr>
        <w:top w:val="none" w:sz="0" w:space="0" w:color="auto"/>
        <w:left w:val="none" w:sz="0" w:space="0" w:color="auto"/>
        <w:bottom w:val="none" w:sz="0" w:space="0" w:color="auto"/>
        <w:right w:val="none" w:sz="0" w:space="0" w:color="auto"/>
      </w:divBdr>
    </w:div>
    <w:div w:id="154802725">
      <w:bodyDiv w:val="1"/>
      <w:marLeft w:val="0"/>
      <w:marRight w:val="0"/>
      <w:marTop w:val="0"/>
      <w:marBottom w:val="0"/>
      <w:divBdr>
        <w:top w:val="none" w:sz="0" w:space="0" w:color="auto"/>
        <w:left w:val="none" w:sz="0" w:space="0" w:color="auto"/>
        <w:bottom w:val="none" w:sz="0" w:space="0" w:color="auto"/>
        <w:right w:val="none" w:sz="0" w:space="0" w:color="auto"/>
      </w:divBdr>
    </w:div>
    <w:div w:id="157503858">
      <w:bodyDiv w:val="1"/>
      <w:marLeft w:val="0"/>
      <w:marRight w:val="0"/>
      <w:marTop w:val="0"/>
      <w:marBottom w:val="0"/>
      <w:divBdr>
        <w:top w:val="none" w:sz="0" w:space="0" w:color="auto"/>
        <w:left w:val="none" w:sz="0" w:space="0" w:color="auto"/>
        <w:bottom w:val="none" w:sz="0" w:space="0" w:color="auto"/>
        <w:right w:val="none" w:sz="0" w:space="0" w:color="auto"/>
      </w:divBdr>
    </w:div>
    <w:div w:id="158275397">
      <w:bodyDiv w:val="1"/>
      <w:marLeft w:val="0"/>
      <w:marRight w:val="0"/>
      <w:marTop w:val="0"/>
      <w:marBottom w:val="0"/>
      <w:divBdr>
        <w:top w:val="none" w:sz="0" w:space="0" w:color="auto"/>
        <w:left w:val="none" w:sz="0" w:space="0" w:color="auto"/>
        <w:bottom w:val="none" w:sz="0" w:space="0" w:color="auto"/>
        <w:right w:val="none" w:sz="0" w:space="0" w:color="auto"/>
      </w:divBdr>
    </w:div>
    <w:div w:id="160898461">
      <w:bodyDiv w:val="1"/>
      <w:marLeft w:val="0"/>
      <w:marRight w:val="0"/>
      <w:marTop w:val="0"/>
      <w:marBottom w:val="0"/>
      <w:divBdr>
        <w:top w:val="none" w:sz="0" w:space="0" w:color="auto"/>
        <w:left w:val="none" w:sz="0" w:space="0" w:color="auto"/>
        <w:bottom w:val="none" w:sz="0" w:space="0" w:color="auto"/>
        <w:right w:val="none" w:sz="0" w:space="0" w:color="auto"/>
      </w:divBdr>
    </w:div>
    <w:div w:id="162401710">
      <w:bodyDiv w:val="1"/>
      <w:marLeft w:val="0"/>
      <w:marRight w:val="0"/>
      <w:marTop w:val="0"/>
      <w:marBottom w:val="0"/>
      <w:divBdr>
        <w:top w:val="none" w:sz="0" w:space="0" w:color="auto"/>
        <w:left w:val="none" w:sz="0" w:space="0" w:color="auto"/>
        <w:bottom w:val="none" w:sz="0" w:space="0" w:color="auto"/>
        <w:right w:val="none" w:sz="0" w:space="0" w:color="auto"/>
      </w:divBdr>
    </w:div>
    <w:div w:id="162471909">
      <w:bodyDiv w:val="1"/>
      <w:marLeft w:val="0"/>
      <w:marRight w:val="0"/>
      <w:marTop w:val="0"/>
      <w:marBottom w:val="0"/>
      <w:divBdr>
        <w:top w:val="none" w:sz="0" w:space="0" w:color="auto"/>
        <w:left w:val="none" w:sz="0" w:space="0" w:color="auto"/>
        <w:bottom w:val="none" w:sz="0" w:space="0" w:color="auto"/>
        <w:right w:val="none" w:sz="0" w:space="0" w:color="auto"/>
      </w:divBdr>
    </w:div>
    <w:div w:id="164252373">
      <w:bodyDiv w:val="1"/>
      <w:marLeft w:val="0"/>
      <w:marRight w:val="0"/>
      <w:marTop w:val="0"/>
      <w:marBottom w:val="0"/>
      <w:divBdr>
        <w:top w:val="none" w:sz="0" w:space="0" w:color="auto"/>
        <w:left w:val="none" w:sz="0" w:space="0" w:color="auto"/>
        <w:bottom w:val="none" w:sz="0" w:space="0" w:color="auto"/>
        <w:right w:val="none" w:sz="0" w:space="0" w:color="auto"/>
      </w:divBdr>
    </w:div>
    <w:div w:id="167446422">
      <w:bodyDiv w:val="1"/>
      <w:marLeft w:val="0"/>
      <w:marRight w:val="0"/>
      <w:marTop w:val="0"/>
      <w:marBottom w:val="0"/>
      <w:divBdr>
        <w:top w:val="none" w:sz="0" w:space="0" w:color="auto"/>
        <w:left w:val="none" w:sz="0" w:space="0" w:color="auto"/>
        <w:bottom w:val="none" w:sz="0" w:space="0" w:color="auto"/>
        <w:right w:val="none" w:sz="0" w:space="0" w:color="auto"/>
      </w:divBdr>
    </w:div>
    <w:div w:id="168568179">
      <w:bodyDiv w:val="1"/>
      <w:marLeft w:val="0"/>
      <w:marRight w:val="0"/>
      <w:marTop w:val="0"/>
      <w:marBottom w:val="0"/>
      <w:divBdr>
        <w:top w:val="none" w:sz="0" w:space="0" w:color="auto"/>
        <w:left w:val="none" w:sz="0" w:space="0" w:color="auto"/>
        <w:bottom w:val="none" w:sz="0" w:space="0" w:color="auto"/>
        <w:right w:val="none" w:sz="0" w:space="0" w:color="auto"/>
      </w:divBdr>
    </w:div>
    <w:div w:id="172190287">
      <w:bodyDiv w:val="1"/>
      <w:marLeft w:val="0"/>
      <w:marRight w:val="0"/>
      <w:marTop w:val="0"/>
      <w:marBottom w:val="0"/>
      <w:divBdr>
        <w:top w:val="none" w:sz="0" w:space="0" w:color="auto"/>
        <w:left w:val="none" w:sz="0" w:space="0" w:color="auto"/>
        <w:bottom w:val="none" w:sz="0" w:space="0" w:color="auto"/>
        <w:right w:val="none" w:sz="0" w:space="0" w:color="auto"/>
      </w:divBdr>
    </w:div>
    <w:div w:id="173150155">
      <w:bodyDiv w:val="1"/>
      <w:marLeft w:val="0"/>
      <w:marRight w:val="0"/>
      <w:marTop w:val="0"/>
      <w:marBottom w:val="0"/>
      <w:divBdr>
        <w:top w:val="none" w:sz="0" w:space="0" w:color="auto"/>
        <w:left w:val="none" w:sz="0" w:space="0" w:color="auto"/>
        <w:bottom w:val="none" w:sz="0" w:space="0" w:color="auto"/>
        <w:right w:val="none" w:sz="0" w:space="0" w:color="auto"/>
      </w:divBdr>
    </w:div>
    <w:div w:id="175466000">
      <w:bodyDiv w:val="1"/>
      <w:marLeft w:val="0"/>
      <w:marRight w:val="0"/>
      <w:marTop w:val="0"/>
      <w:marBottom w:val="0"/>
      <w:divBdr>
        <w:top w:val="none" w:sz="0" w:space="0" w:color="auto"/>
        <w:left w:val="none" w:sz="0" w:space="0" w:color="auto"/>
        <w:bottom w:val="none" w:sz="0" w:space="0" w:color="auto"/>
        <w:right w:val="none" w:sz="0" w:space="0" w:color="auto"/>
      </w:divBdr>
    </w:div>
    <w:div w:id="177087106">
      <w:bodyDiv w:val="1"/>
      <w:marLeft w:val="0"/>
      <w:marRight w:val="0"/>
      <w:marTop w:val="0"/>
      <w:marBottom w:val="0"/>
      <w:divBdr>
        <w:top w:val="none" w:sz="0" w:space="0" w:color="auto"/>
        <w:left w:val="none" w:sz="0" w:space="0" w:color="auto"/>
        <w:bottom w:val="none" w:sz="0" w:space="0" w:color="auto"/>
        <w:right w:val="none" w:sz="0" w:space="0" w:color="auto"/>
      </w:divBdr>
    </w:div>
    <w:div w:id="178854426">
      <w:bodyDiv w:val="1"/>
      <w:marLeft w:val="0"/>
      <w:marRight w:val="0"/>
      <w:marTop w:val="0"/>
      <w:marBottom w:val="0"/>
      <w:divBdr>
        <w:top w:val="none" w:sz="0" w:space="0" w:color="auto"/>
        <w:left w:val="none" w:sz="0" w:space="0" w:color="auto"/>
        <w:bottom w:val="none" w:sz="0" w:space="0" w:color="auto"/>
        <w:right w:val="none" w:sz="0" w:space="0" w:color="auto"/>
      </w:divBdr>
    </w:div>
    <w:div w:id="179010647">
      <w:bodyDiv w:val="1"/>
      <w:marLeft w:val="0"/>
      <w:marRight w:val="0"/>
      <w:marTop w:val="0"/>
      <w:marBottom w:val="0"/>
      <w:divBdr>
        <w:top w:val="none" w:sz="0" w:space="0" w:color="auto"/>
        <w:left w:val="none" w:sz="0" w:space="0" w:color="auto"/>
        <w:bottom w:val="none" w:sz="0" w:space="0" w:color="auto"/>
        <w:right w:val="none" w:sz="0" w:space="0" w:color="auto"/>
      </w:divBdr>
    </w:div>
    <w:div w:id="180167473">
      <w:bodyDiv w:val="1"/>
      <w:marLeft w:val="0"/>
      <w:marRight w:val="0"/>
      <w:marTop w:val="0"/>
      <w:marBottom w:val="0"/>
      <w:divBdr>
        <w:top w:val="none" w:sz="0" w:space="0" w:color="auto"/>
        <w:left w:val="none" w:sz="0" w:space="0" w:color="auto"/>
        <w:bottom w:val="none" w:sz="0" w:space="0" w:color="auto"/>
        <w:right w:val="none" w:sz="0" w:space="0" w:color="auto"/>
      </w:divBdr>
    </w:div>
    <w:div w:id="180901189">
      <w:bodyDiv w:val="1"/>
      <w:marLeft w:val="0"/>
      <w:marRight w:val="0"/>
      <w:marTop w:val="0"/>
      <w:marBottom w:val="0"/>
      <w:divBdr>
        <w:top w:val="none" w:sz="0" w:space="0" w:color="auto"/>
        <w:left w:val="none" w:sz="0" w:space="0" w:color="auto"/>
        <w:bottom w:val="none" w:sz="0" w:space="0" w:color="auto"/>
        <w:right w:val="none" w:sz="0" w:space="0" w:color="auto"/>
      </w:divBdr>
    </w:div>
    <w:div w:id="184369857">
      <w:bodyDiv w:val="1"/>
      <w:marLeft w:val="0"/>
      <w:marRight w:val="0"/>
      <w:marTop w:val="0"/>
      <w:marBottom w:val="0"/>
      <w:divBdr>
        <w:top w:val="none" w:sz="0" w:space="0" w:color="auto"/>
        <w:left w:val="none" w:sz="0" w:space="0" w:color="auto"/>
        <w:bottom w:val="none" w:sz="0" w:space="0" w:color="auto"/>
        <w:right w:val="none" w:sz="0" w:space="0" w:color="auto"/>
      </w:divBdr>
    </w:div>
    <w:div w:id="184446419">
      <w:bodyDiv w:val="1"/>
      <w:marLeft w:val="0"/>
      <w:marRight w:val="0"/>
      <w:marTop w:val="0"/>
      <w:marBottom w:val="0"/>
      <w:divBdr>
        <w:top w:val="none" w:sz="0" w:space="0" w:color="auto"/>
        <w:left w:val="none" w:sz="0" w:space="0" w:color="auto"/>
        <w:bottom w:val="none" w:sz="0" w:space="0" w:color="auto"/>
        <w:right w:val="none" w:sz="0" w:space="0" w:color="auto"/>
      </w:divBdr>
    </w:div>
    <w:div w:id="184566088">
      <w:bodyDiv w:val="1"/>
      <w:marLeft w:val="0"/>
      <w:marRight w:val="0"/>
      <w:marTop w:val="0"/>
      <w:marBottom w:val="0"/>
      <w:divBdr>
        <w:top w:val="none" w:sz="0" w:space="0" w:color="auto"/>
        <w:left w:val="none" w:sz="0" w:space="0" w:color="auto"/>
        <w:bottom w:val="none" w:sz="0" w:space="0" w:color="auto"/>
        <w:right w:val="none" w:sz="0" w:space="0" w:color="auto"/>
      </w:divBdr>
    </w:div>
    <w:div w:id="185490565">
      <w:bodyDiv w:val="1"/>
      <w:marLeft w:val="0"/>
      <w:marRight w:val="0"/>
      <w:marTop w:val="0"/>
      <w:marBottom w:val="0"/>
      <w:divBdr>
        <w:top w:val="none" w:sz="0" w:space="0" w:color="auto"/>
        <w:left w:val="none" w:sz="0" w:space="0" w:color="auto"/>
        <w:bottom w:val="none" w:sz="0" w:space="0" w:color="auto"/>
        <w:right w:val="none" w:sz="0" w:space="0" w:color="auto"/>
      </w:divBdr>
    </w:div>
    <w:div w:id="194731609">
      <w:bodyDiv w:val="1"/>
      <w:marLeft w:val="0"/>
      <w:marRight w:val="0"/>
      <w:marTop w:val="0"/>
      <w:marBottom w:val="0"/>
      <w:divBdr>
        <w:top w:val="none" w:sz="0" w:space="0" w:color="auto"/>
        <w:left w:val="none" w:sz="0" w:space="0" w:color="auto"/>
        <w:bottom w:val="none" w:sz="0" w:space="0" w:color="auto"/>
        <w:right w:val="none" w:sz="0" w:space="0" w:color="auto"/>
      </w:divBdr>
    </w:div>
    <w:div w:id="195436624">
      <w:bodyDiv w:val="1"/>
      <w:marLeft w:val="0"/>
      <w:marRight w:val="0"/>
      <w:marTop w:val="0"/>
      <w:marBottom w:val="0"/>
      <w:divBdr>
        <w:top w:val="none" w:sz="0" w:space="0" w:color="auto"/>
        <w:left w:val="none" w:sz="0" w:space="0" w:color="auto"/>
        <w:bottom w:val="none" w:sz="0" w:space="0" w:color="auto"/>
        <w:right w:val="none" w:sz="0" w:space="0" w:color="auto"/>
      </w:divBdr>
    </w:div>
    <w:div w:id="196936400">
      <w:bodyDiv w:val="1"/>
      <w:marLeft w:val="0"/>
      <w:marRight w:val="0"/>
      <w:marTop w:val="0"/>
      <w:marBottom w:val="0"/>
      <w:divBdr>
        <w:top w:val="none" w:sz="0" w:space="0" w:color="auto"/>
        <w:left w:val="none" w:sz="0" w:space="0" w:color="auto"/>
        <w:bottom w:val="none" w:sz="0" w:space="0" w:color="auto"/>
        <w:right w:val="none" w:sz="0" w:space="0" w:color="auto"/>
      </w:divBdr>
    </w:div>
    <w:div w:id="197007805">
      <w:bodyDiv w:val="1"/>
      <w:marLeft w:val="0"/>
      <w:marRight w:val="0"/>
      <w:marTop w:val="0"/>
      <w:marBottom w:val="0"/>
      <w:divBdr>
        <w:top w:val="none" w:sz="0" w:space="0" w:color="auto"/>
        <w:left w:val="none" w:sz="0" w:space="0" w:color="auto"/>
        <w:bottom w:val="none" w:sz="0" w:space="0" w:color="auto"/>
        <w:right w:val="none" w:sz="0" w:space="0" w:color="auto"/>
      </w:divBdr>
      <w:divsChild>
        <w:div w:id="1214389510">
          <w:marLeft w:val="547"/>
          <w:marRight w:val="0"/>
          <w:marTop w:val="0"/>
          <w:marBottom w:val="0"/>
          <w:divBdr>
            <w:top w:val="none" w:sz="0" w:space="0" w:color="auto"/>
            <w:left w:val="none" w:sz="0" w:space="0" w:color="auto"/>
            <w:bottom w:val="none" w:sz="0" w:space="0" w:color="auto"/>
            <w:right w:val="none" w:sz="0" w:space="0" w:color="auto"/>
          </w:divBdr>
        </w:div>
      </w:divsChild>
    </w:div>
    <w:div w:id="197931014">
      <w:bodyDiv w:val="1"/>
      <w:marLeft w:val="0"/>
      <w:marRight w:val="0"/>
      <w:marTop w:val="0"/>
      <w:marBottom w:val="0"/>
      <w:divBdr>
        <w:top w:val="none" w:sz="0" w:space="0" w:color="auto"/>
        <w:left w:val="none" w:sz="0" w:space="0" w:color="auto"/>
        <w:bottom w:val="none" w:sz="0" w:space="0" w:color="auto"/>
        <w:right w:val="none" w:sz="0" w:space="0" w:color="auto"/>
      </w:divBdr>
    </w:div>
    <w:div w:id="202645199">
      <w:bodyDiv w:val="1"/>
      <w:marLeft w:val="0"/>
      <w:marRight w:val="0"/>
      <w:marTop w:val="0"/>
      <w:marBottom w:val="0"/>
      <w:divBdr>
        <w:top w:val="none" w:sz="0" w:space="0" w:color="auto"/>
        <w:left w:val="none" w:sz="0" w:space="0" w:color="auto"/>
        <w:bottom w:val="none" w:sz="0" w:space="0" w:color="auto"/>
        <w:right w:val="none" w:sz="0" w:space="0" w:color="auto"/>
      </w:divBdr>
    </w:div>
    <w:div w:id="204293896">
      <w:bodyDiv w:val="1"/>
      <w:marLeft w:val="0"/>
      <w:marRight w:val="0"/>
      <w:marTop w:val="0"/>
      <w:marBottom w:val="0"/>
      <w:divBdr>
        <w:top w:val="none" w:sz="0" w:space="0" w:color="auto"/>
        <w:left w:val="none" w:sz="0" w:space="0" w:color="auto"/>
        <w:bottom w:val="none" w:sz="0" w:space="0" w:color="auto"/>
        <w:right w:val="none" w:sz="0" w:space="0" w:color="auto"/>
      </w:divBdr>
    </w:div>
    <w:div w:id="205870497">
      <w:bodyDiv w:val="1"/>
      <w:marLeft w:val="0"/>
      <w:marRight w:val="0"/>
      <w:marTop w:val="0"/>
      <w:marBottom w:val="0"/>
      <w:divBdr>
        <w:top w:val="none" w:sz="0" w:space="0" w:color="auto"/>
        <w:left w:val="none" w:sz="0" w:space="0" w:color="auto"/>
        <w:bottom w:val="none" w:sz="0" w:space="0" w:color="auto"/>
        <w:right w:val="none" w:sz="0" w:space="0" w:color="auto"/>
      </w:divBdr>
    </w:div>
    <w:div w:id="209000392">
      <w:bodyDiv w:val="1"/>
      <w:marLeft w:val="0"/>
      <w:marRight w:val="0"/>
      <w:marTop w:val="0"/>
      <w:marBottom w:val="0"/>
      <w:divBdr>
        <w:top w:val="none" w:sz="0" w:space="0" w:color="auto"/>
        <w:left w:val="none" w:sz="0" w:space="0" w:color="auto"/>
        <w:bottom w:val="none" w:sz="0" w:space="0" w:color="auto"/>
        <w:right w:val="none" w:sz="0" w:space="0" w:color="auto"/>
      </w:divBdr>
    </w:div>
    <w:div w:id="209652300">
      <w:bodyDiv w:val="1"/>
      <w:marLeft w:val="0"/>
      <w:marRight w:val="0"/>
      <w:marTop w:val="0"/>
      <w:marBottom w:val="0"/>
      <w:divBdr>
        <w:top w:val="none" w:sz="0" w:space="0" w:color="auto"/>
        <w:left w:val="none" w:sz="0" w:space="0" w:color="auto"/>
        <w:bottom w:val="none" w:sz="0" w:space="0" w:color="auto"/>
        <w:right w:val="none" w:sz="0" w:space="0" w:color="auto"/>
      </w:divBdr>
    </w:div>
    <w:div w:id="211313181">
      <w:bodyDiv w:val="1"/>
      <w:marLeft w:val="0"/>
      <w:marRight w:val="0"/>
      <w:marTop w:val="0"/>
      <w:marBottom w:val="0"/>
      <w:divBdr>
        <w:top w:val="none" w:sz="0" w:space="0" w:color="auto"/>
        <w:left w:val="none" w:sz="0" w:space="0" w:color="auto"/>
        <w:bottom w:val="none" w:sz="0" w:space="0" w:color="auto"/>
        <w:right w:val="none" w:sz="0" w:space="0" w:color="auto"/>
      </w:divBdr>
    </w:div>
    <w:div w:id="211431799">
      <w:bodyDiv w:val="1"/>
      <w:marLeft w:val="0"/>
      <w:marRight w:val="0"/>
      <w:marTop w:val="0"/>
      <w:marBottom w:val="0"/>
      <w:divBdr>
        <w:top w:val="none" w:sz="0" w:space="0" w:color="auto"/>
        <w:left w:val="none" w:sz="0" w:space="0" w:color="auto"/>
        <w:bottom w:val="none" w:sz="0" w:space="0" w:color="auto"/>
        <w:right w:val="none" w:sz="0" w:space="0" w:color="auto"/>
      </w:divBdr>
    </w:div>
    <w:div w:id="211700066">
      <w:bodyDiv w:val="1"/>
      <w:marLeft w:val="0"/>
      <w:marRight w:val="0"/>
      <w:marTop w:val="0"/>
      <w:marBottom w:val="0"/>
      <w:divBdr>
        <w:top w:val="none" w:sz="0" w:space="0" w:color="auto"/>
        <w:left w:val="none" w:sz="0" w:space="0" w:color="auto"/>
        <w:bottom w:val="none" w:sz="0" w:space="0" w:color="auto"/>
        <w:right w:val="none" w:sz="0" w:space="0" w:color="auto"/>
      </w:divBdr>
    </w:div>
    <w:div w:id="214120775">
      <w:bodyDiv w:val="1"/>
      <w:marLeft w:val="0"/>
      <w:marRight w:val="0"/>
      <w:marTop w:val="0"/>
      <w:marBottom w:val="0"/>
      <w:divBdr>
        <w:top w:val="none" w:sz="0" w:space="0" w:color="auto"/>
        <w:left w:val="none" w:sz="0" w:space="0" w:color="auto"/>
        <w:bottom w:val="none" w:sz="0" w:space="0" w:color="auto"/>
        <w:right w:val="none" w:sz="0" w:space="0" w:color="auto"/>
      </w:divBdr>
    </w:div>
    <w:div w:id="214396446">
      <w:bodyDiv w:val="1"/>
      <w:marLeft w:val="0"/>
      <w:marRight w:val="0"/>
      <w:marTop w:val="0"/>
      <w:marBottom w:val="0"/>
      <w:divBdr>
        <w:top w:val="none" w:sz="0" w:space="0" w:color="auto"/>
        <w:left w:val="none" w:sz="0" w:space="0" w:color="auto"/>
        <w:bottom w:val="none" w:sz="0" w:space="0" w:color="auto"/>
        <w:right w:val="none" w:sz="0" w:space="0" w:color="auto"/>
      </w:divBdr>
    </w:div>
    <w:div w:id="214589217">
      <w:bodyDiv w:val="1"/>
      <w:marLeft w:val="0"/>
      <w:marRight w:val="0"/>
      <w:marTop w:val="0"/>
      <w:marBottom w:val="0"/>
      <w:divBdr>
        <w:top w:val="none" w:sz="0" w:space="0" w:color="auto"/>
        <w:left w:val="none" w:sz="0" w:space="0" w:color="auto"/>
        <w:bottom w:val="none" w:sz="0" w:space="0" w:color="auto"/>
        <w:right w:val="none" w:sz="0" w:space="0" w:color="auto"/>
      </w:divBdr>
    </w:div>
    <w:div w:id="216821856">
      <w:bodyDiv w:val="1"/>
      <w:marLeft w:val="0"/>
      <w:marRight w:val="0"/>
      <w:marTop w:val="0"/>
      <w:marBottom w:val="0"/>
      <w:divBdr>
        <w:top w:val="none" w:sz="0" w:space="0" w:color="auto"/>
        <w:left w:val="none" w:sz="0" w:space="0" w:color="auto"/>
        <w:bottom w:val="none" w:sz="0" w:space="0" w:color="auto"/>
        <w:right w:val="none" w:sz="0" w:space="0" w:color="auto"/>
      </w:divBdr>
    </w:div>
    <w:div w:id="221184451">
      <w:bodyDiv w:val="1"/>
      <w:marLeft w:val="0"/>
      <w:marRight w:val="0"/>
      <w:marTop w:val="0"/>
      <w:marBottom w:val="0"/>
      <w:divBdr>
        <w:top w:val="none" w:sz="0" w:space="0" w:color="auto"/>
        <w:left w:val="none" w:sz="0" w:space="0" w:color="auto"/>
        <w:bottom w:val="none" w:sz="0" w:space="0" w:color="auto"/>
        <w:right w:val="none" w:sz="0" w:space="0" w:color="auto"/>
      </w:divBdr>
    </w:div>
    <w:div w:id="228225750">
      <w:bodyDiv w:val="1"/>
      <w:marLeft w:val="0"/>
      <w:marRight w:val="0"/>
      <w:marTop w:val="0"/>
      <w:marBottom w:val="0"/>
      <w:divBdr>
        <w:top w:val="none" w:sz="0" w:space="0" w:color="auto"/>
        <w:left w:val="none" w:sz="0" w:space="0" w:color="auto"/>
        <w:bottom w:val="none" w:sz="0" w:space="0" w:color="auto"/>
        <w:right w:val="none" w:sz="0" w:space="0" w:color="auto"/>
      </w:divBdr>
    </w:div>
    <w:div w:id="232400521">
      <w:bodyDiv w:val="1"/>
      <w:marLeft w:val="0"/>
      <w:marRight w:val="0"/>
      <w:marTop w:val="0"/>
      <w:marBottom w:val="0"/>
      <w:divBdr>
        <w:top w:val="none" w:sz="0" w:space="0" w:color="auto"/>
        <w:left w:val="none" w:sz="0" w:space="0" w:color="auto"/>
        <w:bottom w:val="none" w:sz="0" w:space="0" w:color="auto"/>
        <w:right w:val="none" w:sz="0" w:space="0" w:color="auto"/>
      </w:divBdr>
    </w:div>
    <w:div w:id="233972547">
      <w:bodyDiv w:val="1"/>
      <w:marLeft w:val="0"/>
      <w:marRight w:val="0"/>
      <w:marTop w:val="0"/>
      <w:marBottom w:val="0"/>
      <w:divBdr>
        <w:top w:val="none" w:sz="0" w:space="0" w:color="auto"/>
        <w:left w:val="none" w:sz="0" w:space="0" w:color="auto"/>
        <w:bottom w:val="none" w:sz="0" w:space="0" w:color="auto"/>
        <w:right w:val="none" w:sz="0" w:space="0" w:color="auto"/>
      </w:divBdr>
    </w:div>
    <w:div w:id="234904038">
      <w:bodyDiv w:val="1"/>
      <w:marLeft w:val="0"/>
      <w:marRight w:val="0"/>
      <w:marTop w:val="0"/>
      <w:marBottom w:val="0"/>
      <w:divBdr>
        <w:top w:val="none" w:sz="0" w:space="0" w:color="auto"/>
        <w:left w:val="none" w:sz="0" w:space="0" w:color="auto"/>
        <w:bottom w:val="none" w:sz="0" w:space="0" w:color="auto"/>
        <w:right w:val="none" w:sz="0" w:space="0" w:color="auto"/>
      </w:divBdr>
    </w:div>
    <w:div w:id="235015143">
      <w:bodyDiv w:val="1"/>
      <w:marLeft w:val="0"/>
      <w:marRight w:val="0"/>
      <w:marTop w:val="0"/>
      <w:marBottom w:val="0"/>
      <w:divBdr>
        <w:top w:val="none" w:sz="0" w:space="0" w:color="auto"/>
        <w:left w:val="none" w:sz="0" w:space="0" w:color="auto"/>
        <w:bottom w:val="none" w:sz="0" w:space="0" w:color="auto"/>
        <w:right w:val="none" w:sz="0" w:space="0" w:color="auto"/>
      </w:divBdr>
    </w:div>
    <w:div w:id="235941582">
      <w:bodyDiv w:val="1"/>
      <w:marLeft w:val="0"/>
      <w:marRight w:val="0"/>
      <w:marTop w:val="0"/>
      <w:marBottom w:val="0"/>
      <w:divBdr>
        <w:top w:val="none" w:sz="0" w:space="0" w:color="auto"/>
        <w:left w:val="none" w:sz="0" w:space="0" w:color="auto"/>
        <w:bottom w:val="none" w:sz="0" w:space="0" w:color="auto"/>
        <w:right w:val="none" w:sz="0" w:space="0" w:color="auto"/>
      </w:divBdr>
    </w:div>
    <w:div w:id="239365105">
      <w:bodyDiv w:val="1"/>
      <w:marLeft w:val="0"/>
      <w:marRight w:val="0"/>
      <w:marTop w:val="0"/>
      <w:marBottom w:val="0"/>
      <w:divBdr>
        <w:top w:val="none" w:sz="0" w:space="0" w:color="auto"/>
        <w:left w:val="none" w:sz="0" w:space="0" w:color="auto"/>
        <w:bottom w:val="none" w:sz="0" w:space="0" w:color="auto"/>
        <w:right w:val="none" w:sz="0" w:space="0" w:color="auto"/>
      </w:divBdr>
    </w:div>
    <w:div w:id="239415417">
      <w:bodyDiv w:val="1"/>
      <w:marLeft w:val="0"/>
      <w:marRight w:val="0"/>
      <w:marTop w:val="0"/>
      <w:marBottom w:val="0"/>
      <w:divBdr>
        <w:top w:val="none" w:sz="0" w:space="0" w:color="auto"/>
        <w:left w:val="none" w:sz="0" w:space="0" w:color="auto"/>
        <w:bottom w:val="none" w:sz="0" w:space="0" w:color="auto"/>
        <w:right w:val="none" w:sz="0" w:space="0" w:color="auto"/>
      </w:divBdr>
    </w:div>
    <w:div w:id="241717577">
      <w:bodyDiv w:val="1"/>
      <w:marLeft w:val="0"/>
      <w:marRight w:val="0"/>
      <w:marTop w:val="0"/>
      <w:marBottom w:val="0"/>
      <w:divBdr>
        <w:top w:val="none" w:sz="0" w:space="0" w:color="auto"/>
        <w:left w:val="none" w:sz="0" w:space="0" w:color="auto"/>
        <w:bottom w:val="none" w:sz="0" w:space="0" w:color="auto"/>
        <w:right w:val="none" w:sz="0" w:space="0" w:color="auto"/>
      </w:divBdr>
    </w:div>
    <w:div w:id="243495486">
      <w:bodyDiv w:val="1"/>
      <w:marLeft w:val="0"/>
      <w:marRight w:val="0"/>
      <w:marTop w:val="0"/>
      <w:marBottom w:val="0"/>
      <w:divBdr>
        <w:top w:val="none" w:sz="0" w:space="0" w:color="auto"/>
        <w:left w:val="none" w:sz="0" w:space="0" w:color="auto"/>
        <w:bottom w:val="none" w:sz="0" w:space="0" w:color="auto"/>
        <w:right w:val="none" w:sz="0" w:space="0" w:color="auto"/>
      </w:divBdr>
    </w:div>
    <w:div w:id="243925244">
      <w:bodyDiv w:val="1"/>
      <w:marLeft w:val="0"/>
      <w:marRight w:val="0"/>
      <w:marTop w:val="0"/>
      <w:marBottom w:val="0"/>
      <w:divBdr>
        <w:top w:val="none" w:sz="0" w:space="0" w:color="auto"/>
        <w:left w:val="none" w:sz="0" w:space="0" w:color="auto"/>
        <w:bottom w:val="none" w:sz="0" w:space="0" w:color="auto"/>
        <w:right w:val="none" w:sz="0" w:space="0" w:color="auto"/>
      </w:divBdr>
    </w:div>
    <w:div w:id="245192849">
      <w:bodyDiv w:val="1"/>
      <w:marLeft w:val="0"/>
      <w:marRight w:val="0"/>
      <w:marTop w:val="0"/>
      <w:marBottom w:val="0"/>
      <w:divBdr>
        <w:top w:val="none" w:sz="0" w:space="0" w:color="auto"/>
        <w:left w:val="none" w:sz="0" w:space="0" w:color="auto"/>
        <w:bottom w:val="none" w:sz="0" w:space="0" w:color="auto"/>
        <w:right w:val="none" w:sz="0" w:space="0" w:color="auto"/>
      </w:divBdr>
    </w:div>
    <w:div w:id="246577171">
      <w:bodyDiv w:val="1"/>
      <w:marLeft w:val="0"/>
      <w:marRight w:val="0"/>
      <w:marTop w:val="0"/>
      <w:marBottom w:val="0"/>
      <w:divBdr>
        <w:top w:val="none" w:sz="0" w:space="0" w:color="auto"/>
        <w:left w:val="none" w:sz="0" w:space="0" w:color="auto"/>
        <w:bottom w:val="none" w:sz="0" w:space="0" w:color="auto"/>
        <w:right w:val="none" w:sz="0" w:space="0" w:color="auto"/>
      </w:divBdr>
    </w:div>
    <w:div w:id="247352383">
      <w:bodyDiv w:val="1"/>
      <w:marLeft w:val="0"/>
      <w:marRight w:val="0"/>
      <w:marTop w:val="0"/>
      <w:marBottom w:val="0"/>
      <w:divBdr>
        <w:top w:val="none" w:sz="0" w:space="0" w:color="auto"/>
        <w:left w:val="none" w:sz="0" w:space="0" w:color="auto"/>
        <w:bottom w:val="none" w:sz="0" w:space="0" w:color="auto"/>
        <w:right w:val="none" w:sz="0" w:space="0" w:color="auto"/>
      </w:divBdr>
    </w:div>
    <w:div w:id="248541882">
      <w:bodyDiv w:val="1"/>
      <w:marLeft w:val="0"/>
      <w:marRight w:val="0"/>
      <w:marTop w:val="0"/>
      <w:marBottom w:val="0"/>
      <w:divBdr>
        <w:top w:val="none" w:sz="0" w:space="0" w:color="auto"/>
        <w:left w:val="none" w:sz="0" w:space="0" w:color="auto"/>
        <w:bottom w:val="none" w:sz="0" w:space="0" w:color="auto"/>
        <w:right w:val="none" w:sz="0" w:space="0" w:color="auto"/>
      </w:divBdr>
    </w:div>
    <w:div w:id="254363212">
      <w:bodyDiv w:val="1"/>
      <w:marLeft w:val="0"/>
      <w:marRight w:val="0"/>
      <w:marTop w:val="0"/>
      <w:marBottom w:val="0"/>
      <w:divBdr>
        <w:top w:val="none" w:sz="0" w:space="0" w:color="auto"/>
        <w:left w:val="none" w:sz="0" w:space="0" w:color="auto"/>
        <w:bottom w:val="none" w:sz="0" w:space="0" w:color="auto"/>
        <w:right w:val="none" w:sz="0" w:space="0" w:color="auto"/>
      </w:divBdr>
    </w:div>
    <w:div w:id="260381978">
      <w:bodyDiv w:val="1"/>
      <w:marLeft w:val="0"/>
      <w:marRight w:val="0"/>
      <w:marTop w:val="0"/>
      <w:marBottom w:val="0"/>
      <w:divBdr>
        <w:top w:val="none" w:sz="0" w:space="0" w:color="auto"/>
        <w:left w:val="none" w:sz="0" w:space="0" w:color="auto"/>
        <w:bottom w:val="none" w:sz="0" w:space="0" w:color="auto"/>
        <w:right w:val="none" w:sz="0" w:space="0" w:color="auto"/>
      </w:divBdr>
    </w:div>
    <w:div w:id="261184541">
      <w:bodyDiv w:val="1"/>
      <w:marLeft w:val="0"/>
      <w:marRight w:val="0"/>
      <w:marTop w:val="0"/>
      <w:marBottom w:val="0"/>
      <w:divBdr>
        <w:top w:val="none" w:sz="0" w:space="0" w:color="auto"/>
        <w:left w:val="none" w:sz="0" w:space="0" w:color="auto"/>
        <w:bottom w:val="none" w:sz="0" w:space="0" w:color="auto"/>
        <w:right w:val="none" w:sz="0" w:space="0" w:color="auto"/>
      </w:divBdr>
    </w:div>
    <w:div w:id="261496074">
      <w:bodyDiv w:val="1"/>
      <w:marLeft w:val="0"/>
      <w:marRight w:val="0"/>
      <w:marTop w:val="0"/>
      <w:marBottom w:val="0"/>
      <w:divBdr>
        <w:top w:val="none" w:sz="0" w:space="0" w:color="auto"/>
        <w:left w:val="none" w:sz="0" w:space="0" w:color="auto"/>
        <w:bottom w:val="none" w:sz="0" w:space="0" w:color="auto"/>
        <w:right w:val="none" w:sz="0" w:space="0" w:color="auto"/>
      </w:divBdr>
    </w:div>
    <w:div w:id="268201995">
      <w:bodyDiv w:val="1"/>
      <w:marLeft w:val="0"/>
      <w:marRight w:val="0"/>
      <w:marTop w:val="0"/>
      <w:marBottom w:val="0"/>
      <w:divBdr>
        <w:top w:val="none" w:sz="0" w:space="0" w:color="auto"/>
        <w:left w:val="none" w:sz="0" w:space="0" w:color="auto"/>
        <w:bottom w:val="none" w:sz="0" w:space="0" w:color="auto"/>
        <w:right w:val="none" w:sz="0" w:space="0" w:color="auto"/>
      </w:divBdr>
    </w:div>
    <w:div w:id="268513238">
      <w:bodyDiv w:val="1"/>
      <w:marLeft w:val="0"/>
      <w:marRight w:val="0"/>
      <w:marTop w:val="0"/>
      <w:marBottom w:val="0"/>
      <w:divBdr>
        <w:top w:val="none" w:sz="0" w:space="0" w:color="auto"/>
        <w:left w:val="none" w:sz="0" w:space="0" w:color="auto"/>
        <w:bottom w:val="none" w:sz="0" w:space="0" w:color="auto"/>
        <w:right w:val="none" w:sz="0" w:space="0" w:color="auto"/>
      </w:divBdr>
    </w:div>
    <w:div w:id="269438944">
      <w:bodyDiv w:val="1"/>
      <w:marLeft w:val="0"/>
      <w:marRight w:val="0"/>
      <w:marTop w:val="0"/>
      <w:marBottom w:val="0"/>
      <w:divBdr>
        <w:top w:val="none" w:sz="0" w:space="0" w:color="auto"/>
        <w:left w:val="none" w:sz="0" w:space="0" w:color="auto"/>
        <w:bottom w:val="none" w:sz="0" w:space="0" w:color="auto"/>
        <w:right w:val="none" w:sz="0" w:space="0" w:color="auto"/>
      </w:divBdr>
    </w:div>
    <w:div w:id="269633587">
      <w:bodyDiv w:val="1"/>
      <w:marLeft w:val="0"/>
      <w:marRight w:val="0"/>
      <w:marTop w:val="0"/>
      <w:marBottom w:val="0"/>
      <w:divBdr>
        <w:top w:val="none" w:sz="0" w:space="0" w:color="auto"/>
        <w:left w:val="none" w:sz="0" w:space="0" w:color="auto"/>
        <w:bottom w:val="none" w:sz="0" w:space="0" w:color="auto"/>
        <w:right w:val="none" w:sz="0" w:space="0" w:color="auto"/>
      </w:divBdr>
      <w:divsChild>
        <w:div w:id="1743989103">
          <w:marLeft w:val="547"/>
          <w:marRight w:val="0"/>
          <w:marTop w:val="0"/>
          <w:marBottom w:val="0"/>
          <w:divBdr>
            <w:top w:val="none" w:sz="0" w:space="0" w:color="auto"/>
            <w:left w:val="none" w:sz="0" w:space="0" w:color="auto"/>
            <w:bottom w:val="none" w:sz="0" w:space="0" w:color="auto"/>
            <w:right w:val="none" w:sz="0" w:space="0" w:color="auto"/>
          </w:divBdr>
        </w:div>
      </w:divsChild>
    </w:div>
    <w:div w:id="273486839">
      <w:bodyDiv w:val="1"/>
      <w:marLeft w:val="0"/>
      <w:marRight w:val="0"/>
      <w:marTop w:val="0"/>
      <w:marBottom w:val="0"/>
      <w:divBdr>
        <w:top w:val="none" w:sz="0" w:space="0" w:color="auto"/>
        <w:left w:val="none" w:sz="0" w:space="0" w:color="auto"/>
        <w:bottom w:val="none" w:sz="0" w:space="0" w:color="auto"/>
        <w:right w:val="none" w:sz="0" w:space="0" w:color="auto"/>
      </w:divBdr>
    </w:div>
    <w:div w:id="275061856">
      <w:bodyDiv w:val="1"/>
      <w:marLeft w:val="0"/>
      <w:marRight w:val="0"/>
      <w:marTop w:val="0"/>
      <w:marBottom w:val="0"/>
      <w:divBdr>
        <w:top w:val="none" w:sz="0" w:space="0" w:color="auto"/>
        <w:left w:val="none" w:sz="0" w:space="0" w:color="auto"/>
        <w:bottom w:val="none" w:sz="0" w:space="0" w:color="auto"/>
        <w:right w:val="none" w:sz="0" w:space="0" w:color="auto"/>
      </w:divBdr>
    </w:div>
    <w:div w:id="279453809">
      <w:bodyDiv w:val="1"/>
      <w:marLeft w:val="0"/>
      <w:marRight w:val="0"/>
      <w:marTop w:val="0"/>
      <w:marBottom w:val="0"/>
      <w:divBdr>
        <w:top w:val="none" w:sz="0" w:space="0" w:color="auto"/>
        <w:left w:val="none" w:sz="0" w:space="0" w:color="auto"/>
        <w:bottom w:val="none" w:sz="0" w:space="0" w:color="auto"/>
        <w:right w:val="none" w:sz="0" w:space="0" w:color="auto"/>
      </w:divBdr>
    </w:div>
    <w:div w:id="282421540">
      <w:bodyDiv w:val="1"/>
      <w:marLeft w:val="0"/>
      <w:marRight w:val="0"/>
      <w:marTop w:val="0"/>
      <w:marBottom w:val="0"/>
      <w:divBdr>
        <w:top w:val="none" w:sz="0" w:space="0" w:color="auto"/>
        <w:left w:val="none" w:sz="0" w:space="0" w:color="auto"/>
        <w:bottom w:val="none" w:sz="0" w:space="0" w:color="auto"/>
        <w:right w:val="none" w:sz="0" w:space="0" w:color="auto"/>
      </w:divBdr>
    </w:div>
    <w:div w:id="283122612">
      <w:bodyDiv w:val="1"/>
      <w:marLeft w:val="0"/>
      <w:marRight w:val="0"/>
      <w:marTop w:val="0"/>
      <w:marBottom w:val="0"/>
      <w:divBdr>
        <w:top w:val="none" w:sz="0" w:space="0" w:color="auto"/>
        <w:left w:val="none" w:sz="0" w:space="0" w:color="auto"/>
        <w:bottom w:val="none" w:sz="0" w:space="0" w:color="auto"/>
        <w:right w:val="none" w:sz="0" w:space="0" w:color="auto"/>
      </w:divBdr>
    </w:div>
    <w:div w:id="288366452">
      <w:bodyDiv w:val="1"/>
      <w:marLeft w:val="0"/>
      <w:marRight w:val="0"/>
      <w:marTop w:val="0"/>
      <w:marBottom w:val="0"/>
      <w:divBdr>
        <w:top w:val="none" w:sz="0" w:space="0" w:color="auto"/>
        <w:left w:val="none" w:sz="0" w:space="0" w:color="auto"/>
        <w:bottom w:val="none" w:sz="0" w:space="0" w:color="auto"/>
        <w:right w:val="none" w:sz="0" w:space="0" w:color="auto"/>
      </w:divBdr>
    </w:div>
    <w:div w:id="289291206">
      <w:bodyDiv w:val="1"/>
      <w:marLeft w:val="0"/>
      <w:marRight w:val="0"/>
      <w:marTop w:val="0"/>
      <w:marBottom w:val="0"/>
      <w:divBdr>
        <w:top w:val="none" w:sz="0" w:space="0" w:color="auto"/>
        <w:left w:val="none" w:sz="0" w:space="0" w:color="auto"/>
        <w:bottom w:val="none" w:sz="0" w:space="0" w:color="auto"/>
        <w:right w:val="none" w:sz="0" w:space="0" w:color="auto"/>
      </w:divBdr>
    </w:div>
    <w:div w:id="290089281">
      <w:bodyDiv w:val="1"/>
      <w:marLeft w:val="0"/>
      <w:marRight w:val="0"/>
      <w:marTop w:val="0"/>
      <w:marBottom w:val="0"/>
      <w:divBdr>
        <w:top w:val="none" w:sz="0" w:space="0" w:color="auto"/>
        <w:left w:val="none" w:sz="0" w:space="0" w:color="auto"/>
        <w:bottom w:val="none" w:sz="0" w:space="0" w:color="auto"/>
        <w:right w:val="none" w:sz="0" w:space="0" w:color="auto"/>
      </w:divBdr>
    </w:div>
    <w:div w:id="294264479">
      <w:bodyDiv w:val="1"/>
      <w:marLeft w:val="0"/>
      <w:marRight w:val="0"/>
      <w:marTop w:val="0"/>
      <w:marBottom w:val="0"/>
      <w:divBdr>
        <w:top w:val="none" w:sz="0" w:space="0" w:color="auto"/>
        <w:left w:val="none" w:sz="0" w:space="0" w:color="auto"/>
        <w:bottom w:val="none" w:sz="0" w:space="0" w:color="auto"/>
        <w:right w:val="none" w:sz="0" w:space="0" w:color="auto"/>
      </w:divBdr>
    </w:div>
    <w:div w:id="296836819">
      <w:bodyDiv w:val="1"/>
      <w:marLeft w:val="0"/>
      <w:marRight w:val="0"/>
      <w:marTop w:val="0"/>
      <w:marBottom w:val="0"/>
      <w:divBdr>
        <w:top w:val="none" w:sz="0" w:space="0" w:color="auto"/>
        <w:left w:val="none" w:sz="0" w:space="0" w:color="auto"/>
        <w:bottom w:val="none" w:sz="0" w:space="0" w:color="auto"/>
        <w:right w:val="none" w:sz="0" w:space="0" w:color="auto"/>
      </w:divBdr>
    </w:div>
    <w:div w:id="297224895">
      <w:bodyDiv w:val="1"/>
      <w:marLeft w:val="0"/>
      <w:marRight w:val="0"/>
      <w:marTop w:val="0"/>
      <w:marBottom w:val="0"/>
      <w:divBdr>
        <w:top w:val="none" w:sz="0" w:space="0" w:color="auto"/>
        <w:left w:val="none" w:sz="0" w:space="0" w:color="auto"/>
        <w:bottom w:val="none" w:sz="0" w:space="0" w:color="auto"/>
        <w:right w:val="none" w:sz="0" w:space="0" w:color="auto"/>
      </w:divBdr>
    </w:div>
    <w:div w:id="297297211">
      <w:bodyDiv w:val="1"/>
      <w:marLeft w:val="0"/>
      <w:marRight w:val="0"/>
      <w:marTop w:val="0"/>
      <w:marBottom w:val="0"/>
      <w:divBdr>
        <w:top w:val="none" w:sz="0" w:space="0" w:color="auto"/>
        <w:left w:val="none" w:sz="0" w:space="0" w:color="auto"/>
        <w:bottom w:val="none" w:sz="0" w:space="0" w:color="auto"/>
        <w:right w:val="none" w:sz="0" w:space="0" w:color="auto"/>
      </w:divBdr>
    </w:div>
    <w:div w:id="299310670">
      <w:bodyDiv w:val="1"/>
      <w:marLeft w:val="0"/>
      <w:marRight w:val="0"/>
      <w:marTop w:val="0"/>
      <w:marBottom w:val="0"/>
      <w:divBdr>
        <w:top w:val="none" w:sz="0" w:space="0" w:color="auto"/>
        <w:left w:val="none" w:sz="0" w:space="0" w:color="auto"/>
        <w:bottom w:val="none" w:sz="0" w:space="0" w:color="auto"/>
        <w:right w:val="none" w:sz="0" w:space="0" w:color="auto"/>
      </w:divBdr>
    </w:div>
    <w:div w:id="300500497">
      <w:bodyDiv w:val="1"/>
      <w:marLeft w:val="0"/>
      <w:marRight w:val="0"/>
      <w:marTop w:val="0"/>
      <w:marBottom w:val="0"/>
      <w:divBdr>
        <w:top w:val="none" w:sz="0" w:space="0" w:color="auto"/>
        <w:left w:val="none" w:sz="0" w:space="0" w:color="auto"/>
        <w:bottom w:val="none" w:sz="0" w:space="0" w:color="auto"/>
        <w:right w:val="none" w:sz="0" w:space="0" w:color="auto"/>
      </w:divBdr>
    </w:div>
    <w:div w:id="300502335">
      <w:bodyDiv w:val="1"/>
      <w:marLeft w:val="0"/>
      <w:marRight w:val="0"/>
      <w:marTop w:val="0"/>
      <w:marBottom w:val="0"/>
      <w:divBdr>
        <w:top w:val="none" w:sz="0" w:space="0" w:color="auto"/>
        <w:left w:val="none" w:sz="0" w:space="0" w:color="auto"/>
        <w:bottom w:val="none" w:sz="0" w:space="0" w:color="auto"/>
        <w:right w:val="none" w:sz="0" w:space="0" w:color="auto"/>
      </w:divBdr>
    </w:div>
    <w:div w:id="300967985">
      <w:bodyDiv w:val="1"/>
      <w:marLeft w:val="0"/>
      <w:marRight w:val="0"/>
      <w:marTop w:val="0"/>
      <w:marBottom w:val="0"/>
      <w:divBdr>
        <w:top w:val="none" w:sz="0" w:space="0" w:color="auto"/>
        <w:left w:val="none" w:sz="0" w:space="0" w:color="auto"/>
        <w:bottom w:val="none" w:sz="0" w:space="0" w:color="auto"/>
        <w:right w:val="none" w:sz="0" w:space="0" w:color="auto"/>
      </w:divBdr>
    </w:div>
    <w:div w:id="303201275">
      <w:bodyDiv w:val="1"/>
      <w:marLeft w:val="0"/>
      <w:marRight w:val="0"/>
      <w:marTop w:val="0"/>
      <w:marBottom w:val="0"/>
      <w:divBdr>
        <w:top w:val="none" w:sz="0" w:space="0" w:color="auto"/>
        <w:left w:val="none" w:sz="0" w:space="0" w:color="auto"/>
        <w:bottom w:val="none" w:sz="0" w:space="0" w:color="auto"/>
        <w:right w:val="none" w:sz="0" w:space="0" w:color="auto"/>
      </w:divBdr>
    </w:div>
    <w:div w:id="306014089">
      <w:bodyDiv w:val="1"/>
      <w:marLeft w:val="0"/>
      <w:marRight w:val="0"/>
      <w:marTop w:val="0"/>
      <w:marBottom w:val="0"/>
      <w:divBdr>
        <w:top w:val="none" w:sz="0" w:space="0" w:color="auto"/>
        <w:left w:val="none" w:sz="0" w:space="0" w:color="auto"/>
        <w:bottom w:val="none" w:sz="0" w:space="0" w:color="auto"/>
        <w:right w:val="none" w:sz="0" w:space="0" w:color="auto"/>
      </w:divBdr>
    </w:div>
    <w:div w:id="307444265">
      <w:bodyDiv w:val="1"/>
      <w:marLeft w:val="0"/>
      <w:marRight w:val="0"/>
      <w:marTop w:val="0"/>
      <w:marBottom w:val="0"/>
      <w:divBdr>
        <w:top w:val="none" w:sz="0" w:space="0" w:color="auto"/>
        <w:left w:val="none" w:sz="0" w:space="0" w:color="auto"/>
        <w:bottom w:val="none" w:sz="0" w:space="0" w:color="auto"/>
        <w:right w:val="none" w:sz="0" w:space="0" w:color="auto"/>
      </w:divBdr>
    </w:div>
    <w:div w:id="310329519">
      <w:bodyDiv w:val="1"/>
      <w:marLeft w:val="0"/>
      <w:marRight w:val="0"/>
      <w:marTop w:val="0"/>
      <w:marBottom w:val="0"/>
      <w:divBdr>
        <w:top w:val="none" w:sz="0" w:space="0" w:color="auto"/>
        <w:left w:val="none" w:sz="0" w:space="0" w:color="auto"/>
        <w:bottom w:val="none" w:sz="0" w:space="0" w:color="auto"/>
        <w:right w:val="none" w:sz="0" w:space="0" w:color="auto"/>
      </w:divBdr>
    </w:div>
    <w:div w:id="310907757">
      <w:bodyDiv w:val="1"/>
      <w:marLeft w:val="0"/>
      <w:marRight w:val="0"/>
      <w:marTop w:val="0"/>
      <w:marBottom w:val="0"/>
      <w:divBdr>
        <w:top w:val="none" w:sz="0" w:space="0" w:color="auto"/>
        <w:left w:val="none" w:sz="0" w:space="0" w:color="auto"/>
        <w:bottom w:val="none" w:sz="0" w:space="0" w:color="auto"/>
        <w:right w:val="none" w:sz="0" w:space="0" w:color="auto"/>
      </w:divBdr>
    </w:div>
    <w:div w:id="311447336">
      <w:bodyDiv w:val="1"/>
      <w:marLeft w:val="0"/>
      <w:marRight w:val="0"/>
      <w:marTop w:val="0"/>
      <w:marBottom w:val="0"/>
      <w:divBdr>
        <w:top w:val="none" w:sz="0" w:space="0" w:color="auto"/>
        <w:left w:val="none" w:sz="0" w:space="0" w:color="auto"/>
        <w:bottom w:val="none" w:sz="0" w:space="0" w:color="auto"/>
        <w:right w:val="none" w:sz="0" w:space="0" w:color="auto"/>
      </w:divBdr>
    </w:div>
    <w:div w:id="311638632">
      <w:bodyDiv w:val="1"/>
      <w:marLeft w:val="0"/>
      <w:marRight w:val="0"/>
      <w:marTop w:val="0"/>
      <w:marBottom w:val="0"/>
      <w:divBdr>
        <w:top w:val="none" w:sz="0" w:space="0" w:color="auto"/>
        <w:left w:val="none" w:sz="0" w:space="0" w:color="auto"/>
        <w:bottom w:val="none" w:sz="0" w:space="0" w:color="auto"/>
        <w:right w:val="none" w:sz="0" w:space="0" w:color="auto"/>
      </w:divBdr>
    </w:div>
    <w:div w:id="312416974">
      <w:bodyDiv w:val="1"/>
      <w:marLeft w:val="0"/>
      <w:marRight w:val="0"/>
      <w:marTop w:val="0"/>
      <w:marBottom w:val="0"/>
      <w:divBdr>
        <w:top w:val="none" w:sz="0" w:space="0" w:color="auto"/>
        <w:left w:val="none" w:sz="0" w:space="0" w:color="auto"/>
        <w:bottom w:val="none" w:sz="0" w:space="0" w:color="auto"/>
        <w:right w:val="none" w:sz="0" w:space="0" w:color="auto"/>
      </w:divBdr>
    </w:div>
    <w:div w:id="316302426">
      <w:bodyDiv w:val="1"/>
      <w:marLeft w:val="0"/>
      <w:marRight w:val="0"/>
      <w:marTop w:val="0"/>
      <w:marBottom w:val="0"/>
      <w:divBdr>
        <w:top w:val="none" w:sz="0" w:space="0" w:color="auto"/>
        <w:left w:val="none" w:sz="0" w:space="0" w:color="auto"/>
        <w:bottom w:val="none" w:sz="0" w:space="0" w:color="auto"/>
        <w:right w:val="none" w:sz="0" w:space="0" w:color="auto"/>
      </w:divBdr>
    </w:div>
    <w:div w:id="325090935">
      <w:bodyDiv w:val="1"/>
      <w:marLeft w:val="0"/>
      <w:marRight w:val="0"/>
      <w:marTop w:val="0"/>
      <w:marBottom w:val="0"/>
      <w:divBdr>
        <w:top w:val="none" w:sz="0" w:space="0" w:color="auto"/>
        <w:left w:val="none" w:sz="0" w:space="0" w:color="auto"/>
        <w:bottom w:val="none" w:sz="0" w:space="0" w:color="auto"/>
        <w:right w:val="none" w:sz="0" w:space="0" w:color="auto"/>
      </w:divBdr>
    </w:div>
    <w:div w:id="325129900">
      <w:bodyDiv w:val="1"/>
      <w:marLeft w:val="0"/>
      <w:marRight w:val="0"/>
      <w:marTop w:val="0"/>
      <w:marBottom w:val="0"/>
      <w:divBdr>
        <w:top w:val="none" w:sz="0" w:space="0" w:color="auto"/>
        <w:left w:val="none" w:sz="0" w:space="0" w:color="auto"/>
        <w:bottom w:val="none" w:sz="0" w:space="0" w:color="auto"/>
        <w:right w:val="none" w:sz="0" w:space="0" w:color="auto"/>
      </w:divBdr>
    </w:div>
    <w:div w:id="325326241">
      <w:bodyDiv w:val="1"/>
      <w:marLeft w:val="0"/>
      <w:marRight w:val="0"/>
      <w:marTop w:val="0"/>
      <w:marBottom w:val="0"/>
      <w:divBdr>
        <w:top w:val="none" w:sz="0" w:space="0" w:color="auto"/>
        <w:left w:val="none" w:sz="0" w:space="0" w:color="auto"/>
        <w:bottom w:val="none" w:sz="0" w:space="0" w:color="auto"/>
        <w:right w:val="none" w:sz="0" w:space="0" w:color="auto"/>
      </w:divBdr>
    </w:div>
    <w:div w:id="328220455">
      <w:bodyDiv w:val="1"/>
      <w:marLeft w:val="0"/>
      <w:marRight w:val="0"/>
      <w:marTop w:val="0"/>
      <w:marBottom w:val="0"/>
      <w:divBdr>
        <w:top w:val="none" w:sz="0" w:space="0" w:color="auto"/>
        <w:left w:val="none" w:sz="0" w:space="0" w:color="auto"/>
        <w:bottom w:val="none" w:sz="0" w:space="0" w:color="auto"/>
        <w:right w:val="none" w:sz="0" w:space="0" w:color="auto"/>
      </w:divBdr>
    </w:div>
    <w:div w:id="329874750">
      <w:bodyDiv w:val="1"/>
      <w:marLeft w:val="0"/>
      <w:marRight w:val="0"/>
      <w:marTop w:val="0"/>
      <w:marBottom w:val="0"/>
      <w:divBdr>
        <w:top w:val="none" w:sz="0" w:space="0" w:color="auto"/>
        <w:left w:val="none" w:sz="0" w:space="0" w:color="auto"/>
        <w:bottom w:val="none" w:sz="0" w:space="0" w:color="auto"/>
        <w:right w:val="none" w:sz="0" w:space="0" w:color="auto"/>
      </w:divBdr>
    </w:div>
    <w:div w:id="330106490">
      <w:bodyDiv w:val="1"/>
      <w:marLeft w:val="0"/>
      <w:marRight w:val="0"/>
      <w:marTop w:val="0"/>
      <w:marBottom w:val="0"/>
      <w:divBdr>
        <w:top w:val="none" w:sz="0" w:space="0" w:color="auto"/>
        <w:left w:val="none" w:sz="0" w:space="0" w:color="auto"/>
        <w:bottom w:val="none" w:sz="0" w:space="0" w:color="auto"/>
        <w:right w:val="none" w:sz="0" w:space="0" w:color="auto"/>
      </w:divBdr>
    </w:div>
    <w:div w:id="333151859">
      <w:bodyDiv w:val="1"/>
      <w:marLeft w:val="0"/>
      <w:marRight w:val="0"/>
      <w:marTop w:val="0"/>
      <w:marBottom w:val="0"/>
      <w:divBdr>
        <w:top w:val="none" w:sz="0" w:space="0" w:color="auto"/>
        <w:left w:val="none" w:sz="0" w:space="0" w:color="auto"/>
        <w:bottom w:val="none" w:sz="0" w:space="0" w:color="auto"/>
        <w:right w:val="none" w:sz="0" w:space="0" w:color="auto"/>
      </w:divBdr>
    </w:div>
    <w:div w:id="335153518">
      <w:bodyDiv w:val="1"/>
      <w:marLeft w:val="0"/>
      <w:marRight w:val="0"/>
      <w:marTop w:val="0"/>
      <w:marBottom w:val="0"/>
      <w:divBdr>
        <w:top w:val="none" w:sz="0" w:space="0" w:color="auto"/>
        <w:left w:val="none" w:sz="0" w:space="0" w:color="auto"/>
        <w:bottom w:val="none" w:sz="0" w:space="0" w:color="auto"/>
        <w:right w:val="none" w:sz="0" w:space="0" w:color="auto"/>
      </w:divBdr>
    </w:div>
    <w:div w:id="335888021">
      <w:bodyDiv w:val="1"/>
      <w:marLeft w:val="0"/>
      <w:marRight w:val="0"/>
      <w:marTop w:val="0"/>
      <w:marBottom w:val="0"/>
      <w:divBdr>
        <w:top w:val="none" w:sz="0" w:space="0" w:color="auto"/>
        <w:left w:val="none" w:sz="0" w:space="0" w:color="auto"/>
        <w:bottom w:val="none" w:sz="0" w:space="0" w:color="auto"/>
        <w:right w:val="none" w:sz="0" w:space="0" w:color="auto"/>
      </w:divBdr>
    </w:div>
    <w:div w:id="337344292">
      <w:bodyDiv w:val="1"/>
      <w:marLeft w:val="0"/>
      <w:marRight w:val="0"/>
      <w:marTop w:val="0"/>
      <w:marBottom w:val="0"/>
      <w:divBdr>
        <w:top w:val="none" w:sz="0" w:space="0" w:color="auto"/>
        <w:left w:val="none" w:sz="0" w:space="0" w:color="auto"/>
        <w:bottom w:val="none" w:sz="0" w:space="0" w:color="auto"/>
        <w:right w:val="none" w:sz="0" w:space="0" w:color="auto"/>
      </w:divBdr>
    </w:div>
    <w:div w:id="337344739">
      <w:bodyDiv w:val="1"/>
      <w:marLeft w:val="0"/>
      <w:marRight w:val="0"/>
      <w:marTop w:val="0"/>
      <w:marBottom w:val="0"/>
      <w:divBdr>
        <w:top w:val="none" w:sz="0" w:space="0" w:color="auto"/>
        <w:left w:val="none" w:sz="0" w:space="0" w:color="auto"/>
        <w:bottom w:val="none" w:sz="0" w:space="0" w:color="auto"/>
        <w:right w:val="none" w:sz="0" w:space="0" w:color="auto"/>
      </w:divBdr>
    </w:div>
    <w:div w:id="339238451">
      <w:bodyDiv w:val="1"/>
      <w:marLeft w:val="0"/>
      <w:marRight w:val="0"/>
      <w:marTop w:val="0"/>
      <w:marBottom w:val="0"/>
      <w:divBdr>
        <w:top w:val="none" w:sz="0" w:space="0" w:color="auto"/>
        <w:left w:val="none" w:sz="0" w:space="0" w:color="auto"/>
        <w:bottom w:val="none" w:sz="0" w:space="0" w:color="auto"/>
        <w:right w:val="none" w:sz="0" w:space="0" w:color="auto"/>
      </w:divBdr>
    </w:div>
    <w:div w:id="346520779">
      <w:bodyDiv w:val="1"/>
      <w:marLeft w:val="0"/>
      <w:marRight w:val="0"/>
      <w:marTop w:val="0"/>
      <w:marBottom w:val="0"/>
      <w:divBdr>
        <w:top w:val="none" w:sz="0" w:space="0" w:color="auto"/>
        <w:left w:val="none" w:sz="0" w:space="0" w:color="auto"/>
        <w:bottom w:val="none" w:sz="0" w:space="0" w:color="auto"/>
        <w:right w:val="none" w:sz="0" w:space="0" w:color="auto"/>
      </w:divBdr>
    </w:div>
    <w:div w:id="348021591">
      <w:bodyDiv w:val="1"/>
      <w:marLeft w:val="0"/>
      <w:marRight w:val="0"/>
      <w:marTop w:val="0"/>
      <w:marBottom w:val="0"/>
      <w:divBdr>
        <w:top w:val="none" w:sz="0" w:space="0" w:color="auto"/>
        <w:left w:val="none" w:sz="0" w:space="0" w:color="auto"/>
        <w:bottom w:val="none" w:sz="0" w:space="0" w:color="auto"/>
        <w:right w:val="none" w:sz="0" w:space="0" w:color="auto"/>
      </w:divBdr>
    </w:div>
    <w:div w:id="350112193">
      <w:bodyDiv w:val="1"/>
      <w:marLeft w:val="0"/>
      <w:marRight w:val="0"/>
      <w:marTop w:val="0"/>
      <w:marBottom w:val="0"/>
      <w:divBdr>
        <w:top w:val="none" w:sz="0" w:space="0" w:color="auto"/>
        <w:left w:val="none" w:sz="0" w:space="0" w:color="auto"/>
        <w:bottom w:val="none" w:sz="0" w:space="0" w:color="auto"/>
        <w:right w:val="none" w:sz="0" w:space="0" w:color="auto"/>
      </w:divBdr>
    </w:div>
    <w:div w:id="352147171">
      <w:bodyDiv w:val="1"/>
      <w:marLeft w:val="0"/>
      <w:marRight w:val="0"/>
      <w:marTop w:val="0"/>
      <w:marBottom w:val="0"/>
      <w:divBdr>
        <w:top w:val="none" w:sz="0" w:space="0" w:color="auto"/>
        <w:left w:val="none" w:sz="0" w:space="0" w:color="auto"/>
        <w:bottom w:val="none" w:sz="0" w:space="0" w:color="auto"/>
        <w:right w:val="none" w:sz="0" w:space="0" w:color="auto"/>
      </w:divBdr>
    </w:div>
    <w:div w:id="352415234">
      <w:bodyDiv w:val="1"/>
      <w:marLeft w:val="0"/>
      <w:marRight w:val="0"/>
      <w:marTop w:val="0"/>
      <w:marBottom w:val="0"/>
      <w:divBdr>
        <w:top w:val="none" w:sz="0" w:space="0" w:color="auto"/>
        <w:left w:val="none" w:sz="0" w:space="0" w:color="auto"/>
        <w:bottom w:val="none" w:sz="0" w:space="0" w:color="auto"/>
        <w:right w:val="none" w:sz="0" w:space="0" w:color="auto"/>
      </w:divBdr>
    </w:div>
    <w:div w:id="353072136">
      <w:bodyDiv w:val="1"/>
      <w:marLeft w:val="0"/>
      <w:marRight w:val="0"/>
      <w:marTop w:val="0"/>
      <w:marBottom w:val="0"/>
      <w:divBdr>
        <w:top w:val="none" w:sz="0" w:space="0" w:color="auto"/>
        <w:left w:val="none" w:sz="0" w:space="0" w:color="auto"/>
        <w:bottom w:val="none" w:sz="0" w:space="0" w:color="auto"/>
        <w:right w:val="none" w:sz="0" w:space="0" w:color="auto"/>
      </w:divBdr>
    </w:div>
    <w:div w:id="354884344">
      <w:bodyDiv w:val="1"/>
      <w:marLeft w:val="0"/>
      <w:marRight w:val="0"/>
      <w:marTop w:val="0"/>
      <w:marBottom w:val="0"/>
      <w:divBdr>
        <w:top w:val="none" w:sz="0" w:space="0" w:color="auto"/>
        <w:left w:val="none" w:sz="0" w:space="0" w:color="auto"/>
        <w:bottom w:val="none" w:sz="0" w:space="0" w:color="auto"/>
        <w:right w:val="none" w:sz="0" w:space="0" w:color="auto"/>
      </w:divBdr>
    </w:div>
    <w:div w:id="357123810">
      <w:bodyDiv w:val="1"/>
      <w:marLeft w:val="0"/>
      <w:marRight w:val="0"/>
      <w:marTop w:val="0"/>
      <w:marBottom w:val="0"/>
      <w:divBdr>
        <w:top w:val="none" w:sz="0" w:space="0" w:color="auto"/>
        <w:left w:val="none" w:sz="0" w:space="0" w:color="auto"/>
        <w:bottom w:val="none" w:sz="0" w:space="0" w:color="auto"/>
        <w:right w:val="none" w:sz="0" w:space="0" w:color="auto"/>
      </w:divBdr>
    </w:div>
    <w:div w:id="362023159">
      <w:bodyDiv w:val="1"/>
      <w:marLeft w:val="0"/>
      <w:marRight w:val="0"/>
      <w:marTop w:val="0"/>
      <w:marBottom w:val="0"/>
      <w:divBdr>
        <w:top w:val="none" w:sz="0" w:space="0" w:color="auto"/>
        <w:left w:val="none" w:sz="0" w:space="0" w:color="auto"/>
        <w:bottom w:val="none" w:sz="0" w:space="0" w:color="auto"/>
        <w:right w:val="none" w:sz="0" w:space="0" w:color="auto"/>
      </w:divBdr>
    </w:div>
    <w:div w:id="362826005">
      <w:bodyDiv w:val="1"/>
      <w:marLeft w:val="0"/>
      <w:marRight w:val="0"/>
      <w:marTop w:val="0"/>
      <w:marBottom w:val="0"/>
      <w:divBdr>
        <w:top w:val="none" w:sz="0" w:space="0" w:color="auto"/>
        <w:left w:val="none" w:sz="0" w:space="0" w:color="auto"/>
        <w:bottom w:val="none" w:sz="0" w:space="0" w:color="auto"/>
        <w:right w:val="none" w:sz="0" w:space="0" w:color="auto"/>
      </w:divBdr>
    </w:div>
    <w:div w:id="363528891">
      <w:bodyDiv w:val="1"/>
      <w:marLeft w:val="0"/>
      <w:marRight w:val="0"/>
      <w:marTop w:val="0"/>
      <w:marBottom w:val="0"/>
      <w:divBdr>
        <w:top w:val="none" w:sz="0" w:space="0" w:color="auto"/>
        <w:left w:val="none" w:sz="0" w:space="0" w:color="auto"/>
        <w:bottom w:val="none" w:sz="0" w:space="0" w:color="auto"/>
        <w:right w:val="none" w:sz="0" w:space="0" w:color="auto"/>
      </w:divBdr>
    </w:div>
    <w:div w:id="364791282">
      <w:bodyDiv w:val="1"/>
      <w:marLeft w:val="0"/>
      <w:marRight w:val="0"/>
      <w:marTop w:val="0"/>
      <w:marBottom w:val="0"/>
      <w:divBdr>
        <w:top w:val="none" w:sz="0" w:space="0" w:color="auto"/>
        <w:left w:val="none" w:sz="0" w:space="0" w:color="auto"/>
        <w:bottom w:val="none" w:sz="0" w:space="0" w:color="auto"/>
        <w:right w:val="none" w:sz="0" w:space="0" w:color="auto"/>
      </w:divBdr>
    </w:div>
    <w:div w:id="367146454">
      <w:bodyDiv w:val="1"/>
      <w:marLeft w:val="0"/>
      <w:marRight w:val="0"/>
      <w:marTop w:val="0"/>
      <w:marBottom w:val="0"/>
      <w:divBdr>
        <w:top w:val="none" w:sz="0" w:space="0" w:color="auto"/>
        <w:left w:val="none" w:sz="0" w:space="0" w:color="auto"/>
        <w:bottom w:val="none" w:sz="0" w:space="0" w:color="auto"/>
        <w:right w:val="none" w:sz="0" w:space="0" w:color="auto"/>
      </w:divBdr>
    </w:div>
    <w:div w:id="367487548">
      <w:bodyDiv w:val="1"/>
      <w:marLeft w:val="0"/>
      <w:marRight w:val="0"/>
      <w:marTop w:val="0"/>
      <w:marBottom w:val="0"/>
      <w:divBdr>
        <w:top w:val="none" w:sz="0" w:space="0" w:color="auto"/>
        <w:left w:val="none" w:sz="0" w:space="0" w:color="auto"/>
        <w:bottom w:val="none" w:sz="0" w:space="0" w:color="auto"/>
        <w:right w:val="none" w:sz="0" w:space="0" w:color="auto"/>
      </w:divBdr>
    </w:div>
    <w:div w:id="373308416">
      <w:bodyDiv w:val="1"/>
      <w:marLeft w:val="0"/>
      <w:marRight w:val="0"/>
      <w:marTop w:val="0"/>
      <w:marBottom w:val="0"/>
      <w:divBdr>
        <w:top w:val="none" w:sz="0" w:space="0" w:color="auto"/>
        <w:left w:val="none" w:sz="0" w:space="0" w:color="auto"/>
        <w:bottom w:val="none" w:sz="0" w:space="0" w:color="auto"/>
        <w:right w:val="none" w:sz="0" w:space="0" w:color="auto"/>
      </w:divBdr>
    </w:div>
    <w:div w:id="375541736">
      <w:bodyDiv w:val="1"/>
      <w:marLeft w:val="0"/>
      <w:marRight w:val="0"/>
      <w:marTop w:val="0"/>
      <w:marBottom w:val="0"/>
      <w:divBdr>
        <w:top w:val="none" w:sz="0" w:space="0" w:color="auto"/>
        <w:left w:val="none" w:sz="0" w:space="0" w:color="auto"/>
        <w:bottom w:val="none" w:sz="0" w:space="0" w:color="auto"/>
        <w:right w:val="none" w:sz="0" w:space="0" w:color="auto"/>
      </w:divBdr>
    </w:div>
    <w:div w:id="375784363">
      <w:bodyDiv w:val="1"/>
      <w:marLeft w:val="0"/>
      <w:marRight w:val="0"/>
      <w:marTop w:val="0"/>
      <w:marBottom w:val="0"/>
      <w:divBdr>
        <w:top w:val="none" w:sz="0" w:space="0" w:color="auto"/>
        <w:left w:val="none" w:sz="0" w:space="0" w:color="auto"/>
        <w:bottom w:val="none" w:sz="0" w:space="0" w:color="auto"/>
        <w:right w:val="none" w:sz="0" w:space="0" w:color="auto"/>
      </w:divBdr>
    </w:div>
    <w:div w:id="378088478">
      <w:bodyDiv w:val="1"/>
      <w:marLeft w:val="0"/>
      <w:marRight w:val="0"/>
      <w:marTop w:val="0"/>
      <w:marBottom w:val="0"/>
      <w:divBdr>
        <w:top w:val="none" w:sz="0" w:space="0" w:color="auto"/>
        <w:left w:val="none" w:sz="0" w:space="0" w:color="auto"/>
        <w:bottom w:val="none" w:sz="0" w:space="0" w:color="auto"/>
        <w:right w:val="none" w:sz="0" w:space="0" w:color="auto"/>
      </w:divBdr>
    </w:div>
    <w:div w:id="379013450">
      <w:bodyDiv w:val="1"/>
      <w:marLeft w:val="0"/>
      <w:marRight w:val="0"/>
      <w:marTop w:val="0"/>
      <w:marBottom w:val="0"/>
      <w:divBdr>
        <w:top w:val="none" w:sz="0" w:space="0" w:color="auto"/>
        <w:left w:val="none" w:sz="0" w:space="0" w:color="auto"/>
        <w:bottom w:val="none" w:sz="0" w:space="0" w:color="auto"/>
        <w:right w:val="none" w:sz="0" w:space="0" w:color="auto"/>
      </w:divBdr>
    </w:div>
    <w:div w:id="381682226">
      <w:bodyDiv w:val="1"/>
      <w:marLeft w:val="0"/>
      <w:marRight w:val="0"/>
      <w:marTop w:val="0"/>
      <w:marBottom w:val="0"/>
      <w:divBdr>
        <w:top w:val="none" w:sz="0" w:space="0" w:color="auto"/>
        <w:left w:val="none" w:sz="0" w:space="0" w:color="auto"/>
        <w:bottom w:val="none" w:sz="0" w:space="0" w:color="auto"/>
        <w:right w:val="none" w:sz="0" w:space="0" w:color="auto"/>
      </w:divBdr>
    </w:div>
    <w:div w:id="382682501">
      <w:bodyDiv w:val="1"/>
      <w:marLeft w:val="0"/>
      <w:marRight w:val="0"/>
      <w:marTop w:val="0"/>
      <w:marBottom w:val="0"/>
      <w:divBdr>
        <w:top w:val="none" w:sz="0" w:space="0" w:color="auto"/>
        <w:left w:val="none" w:sz="0" w:space="0" w:color="auto"/>
        <w:bottom w:val="none" w:sz="0" w:space="0" w:color="auto"/>
        <w:right w:val="none" w:sz="0" w:space="0" w:color="auto"/>
      </w:divBdr>
    </w:div>
    <w:div w:id="384135977">
      <w:bodyDiv w:val="1"/>
      <w:marLeft w:val="0"/>
      <w:marRight w:val="0"/>
      <w:marTop w:val="0"/>
      <w:marBottom w:val="0"/>
      <w:divBdr>
        <w:top w:val="none" w:sz="0" w:space="0" w:color="auto"/>
        <w:left w:val="none" w:sz="0" w:space="0" w:color="auto"/>
        <w:bottom w:val="none" w:sz="0" w:space="0" w:color="auto"/>
        <w:right w:val="none" w:sz="0" w:space="0" w:color="auto"/>
      </w:divBdr>
    </w:div>
    <w:div w:id="386298595">
      <w:bodyDiv w:val="1"/>
      <w:marLeft w:val="0"/>
      <w:marRight w:val="0"/>
      <w:marTop w:val="0"/>
      <w:marBottom w:val="0"/>
      <w:divBdr>
        <w:top w:val="none" w:sz="0" w:space="0" w:color="auto"/>
        <w:left w:val="none" w:sz="0" w:space="0" w:color="auto"/>
        <w:bottom w:val="none" w:sz="0" w:space="0" w:color="auto"/>
        <w:right w:val="none" w:sz="0" w:space="0" w:color="auto"/>
      </w:divBdr>
    </w:div>
    <w:div w:id="388697792">
      <w:bodyDiv w:val="1"/>
      <w:marLeft w:val="0"/>
      <w:marRight w:val="0"/>
      <w:marTop w:val="0"/>
      <w:marBottom w:val="0"/>
      <w:divBdr>
        <w:top w:val="none" w:sz="0" w:space="0" w:color="auto"/>
        <w:left w:val="none" w:sz="0" w:space="0" w:color="auto"/>
        <w:bottom w:val="none" w:sz="0" w:space="0" w:color="auto"/>
        <w:right w:val="none" w:sz="0" w:space="0" w:color="auto"/>
      </w:divBdr>
    </w:div>
    <w:div w:id="389228796">
      <w:bodyDiv w:val="1"/>
      <w:marLeft w:val="0"/>
      <w:marRight w:val="0"/>
      <w:marTop w:val="0"/>
      <w:marBottom w:val="0"/>
      <w:divBdr>
        <w:top w:val="none" w:sz="0" w:space="0" w:color="auto"/>
        <w:left w:val="none" w:sz="0" w:space="0" w:color="auto"/>
        <w:bottom w:val="none" w:sz="0" w:space="0" w:color="auto"/>
        <w:right w:val="none" w:sz="0" w:space="0" w:color="auto"/>
      </w:divBdr>
    </w:div>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391470193">
      <w:bodyDiv w:val="1"/>
      <w:marLeft w:val="0"/>
      <w:marRight w:val="0"/>
      <w:marTop w:val="0"/>
      <w:marBottom w:val="0"/>
      <w:divBdr>
        <w:top w:val="none" w:sz="0" w:space="0" w:color="auto"/>
        <w:left w:val="none" w:sz="0" w:space="0" w:color="auto"/>
        <w:bottom w:val="none" w:sz="0" w:space="0" w:color="auto"/>
        <w:right w:val="none" w:sz="0" w:space="0" w:color="auto"/>
      </w:divBdr>
    </w:div>
    <w:div w:id="391730156">
      <w:bodyDiv w:val="1"/>
      <w:marLeft w:val="0"/>
      <w:marRight w:val="0"/>
      <w:marTop w:val="0"/>
      <w:marBottom w:val="0"/>
      <w:divBdr>
        <w:top w:val="none" w:sz="0" w:space="0" w:color="auto"/>
        <w:left w:val="none" w:sz="0" w:space="0" w:color="auto"/>
        <w:bottom w:val="none" w:sz="0" w:space="0" w:color="auto"/>
        <w:right w:val="none" w:sz="0" w:space="0" w:color="auto"/>
      </w:divBdr>
    </w:div>
    <w:div w:id="394742313">
      <w:bodyDiv w:val="1"/>
      <w:marLeft w:val="0"/>
      <w:marRight w:val="0"/>
      <w:marTop w:val="0"/>
      <w:marBottom w:val="0"/>
      <w:divBdr>
        <w:top w:val="none" w:sz="0" w:space="0" w:color="auto"/>
        <w:left w:val="none" w:sz="0" w:space="0" w:color="auto"/>
        <w:bottom w:val="none" w:sz="0" w:space="0" w:color="auto"/>
        <w:right w:val="none" w:sz="0" w:space="0" w:color="auto"/>
      </w:divBdr>
    </w:div>
    <w:div w:id="394861636">
      <w:bodyDiv w:val="1"/>
      <w:marLeft w:val="0"/>
      <w:marRight w:val="0"/>
      <w:marTop w:val="0"/>
      <w:marBottom w:val="0"/>
      <w:divBdr>
        <w:top w:val="none" w:sz="0" w:space="0" w:color="auto"/>
        <w:left w:val="none" w:sz="0" w:space="0" w:color="auto"/>
        <w:bottom w:val="none" w:sz="0" w:space="0" w:color="auto"/>
        <w:right w:val="none" w:sz="0" w:space="0" w:color="auto"/>
      </w:divBdr>
    </w:div>
    <w:div w:id="394862752">
      <w:bodyDiv w:val="1"/>
      <w:marLeft w:val="0"/>
      <w:marRight w:val="0"/>
      <w:marTop w:val="0"/>
      <w:marBottom w:val="0"/>
      <w:divBdr>
        <w:top w:val="none" w:sz="0" w:space="0" w:color="auto"/>
        <w:left w:val="none" w:sz="0" w:space="0" w:color="auto"/>
        <w:bottom w:val="none" w:sz="0" w:space="0" w:color="auto"/>
        <w:right w:val="none" w:sz="0" w:space="0" w:color="auto"/>
      </w:divBdr>
    </w:div>
    <w:div w:id="395786965">
      <w:bodyDiv w:val="1"/>
      <w:marLeft w:val="0"/>
      <w:marRight w:val="0"/>
      <w:marTop w:val="0"/>
      <w:marBottom w:val="0"/>
      <w:divBdr>
        <w:top w:val="none" w:sz="0" w:space="0" w:color="auto"/>
        <w:left w:val="none" w:sz="0" w:space="0" w:color="auto"/>
        <w:bottom w:val="none" w:sz="0" w:space="0" w:color="auto"/>
        <w:right w:val="none" w:sz="0" w:space="0" w:color="auto"/>
      </w:divBdr>
    </w:div>
    <w:div w:id="397217794">
      <w:bodyDiv w:val="1"/>
      <w:marLeft w:val="0"/>
      <w:marRight w:val="0"/>
      <w:marTop w:val="0"/>
      <w:marBottom w:val="0"/>
      <w:divBdr>
        <w:top w:val="none" w:sz="0" w:space="0" w:color="auto"/>
        <w:left w:val="none" w:sz="0" w:space="0" w:color="auto"/>
        <w:bottom w:val="none" w:sz="0" w:space="0" w:color="auto"/>
        <w:right w:val="none" w:sz="0" w:space="0" w:color="auto"/>
      </w:divBdr>
    </w:div>
    <w:div w:id="397367671">
      <w:bodyDiv w:val="1"/>
      <w:marLeft w:val="0"/>
      <w:marRight w:val="0"/>
      <w:marTop w:val="0"/>
      <w:marBottom w:val="0"/>
      <w:divBdr>
        <w:top w:val="none" w:sz="0" w:space="0" w:color="auto"/>
        <w:left w:val="none" w:sz="0" w:space="0" w:color="auto"/>
        <w:bottom w:val="none" w:sz="0" w:space="0" w:color="auto"/>
        <w:right w:val="none" w:sz="0" w:space="0" w:color="auto"/>
      </w:divBdr>
    </w:div>
    <w:div w:id="401879375">
      <w:bodyDiv w:val="1"/>
      <w:marLeft w:val="0"/>
      <w:marRight w:val="0"/>
      <w:marTop w:val="0"/>
      <w:marBottom w:val="0"/>
      <w:divBdr>
        <w:top w:val="none" w:sz="0" w:space="0" w:color="auto"/>
        <w:left w:val="none" w:sz="0" w:space="0" w:color="auto"/>
        <w:bottom w:val="none" w:sz="0" w:space="0" w:color="auto"/>
        <w:right w:val="none" w:sz="0" w:space="0" w:color="auto"/>
      </w:divBdr>
    </w:div>
    <w:div w:id="402220098">
      <w:bodyDiv w:val="1"/>
      <w:marLeft w:val="0"/>
      <w:marRight w:val="0"/>
      <w:marTop w:val="0"/>
      <w:marBottom w:val="0"/>
      <w:divBdr>
        <w:top w:val="none" w:sz="0" w:space="0" w:color="auto"/>
        <w:left w:val="none" w:sz="0" w:space="0" w:color="auto"/>
        <w:bottom w:val="none" w:sz="0" w:space="0" w:color="auto"/>
        <w:right w:val="none" w:sz="0" w:space="0" w:color="auto"/>
      </w:divBdr>
    </w:div>
    <w:div w:id="402803127">
      <w:bodyDiv w:val="1"/>
      <w:marLeft w:val="0"/>
      <w:marRight w:val="0"/>
      <w:marTop w:val="0"/>
      <w:marBottom w:val="0"/>
      <w:divBdr>
        <w:top w:val="none" w:sz="0" w:space="0" w:color="auto"/>
        <w:left w:val="none" w:sz="0" w:space="0" w:color="auto"/>
        <w:bottom w:val="none" w:sz="0" w:space="0" w:color="auto"/>
        <w:right w:val="none" w:sz="0" w:space="0" w:color="auto"/>
      </w:divBdr>
    </w:div>
    <w:div w:id="405496790">
      <w:bodyDiv w:val="1"/>
      <w:marLeft w:val="0"/>
      <w:marRight w:val="0"/>
      <w:marTop w:val="0"/>
      <w:marBottom w:val="0"/>
      <w:divBdr>
        <w:top w:val="none" w:sz="0" w:space="0" w:color="auto"/>
        <w:left w:val="none" w:sz="0" w:space="0" w:color="auto"/>
        <w:bottom w:val="none" w:sz="0" w:space="0" w:color="auto"/>
        <w:right w:val="none" w:sz="0" w:space="0" w:color="auto"/>
      </w:divBdr>
    </w:div>
    <w:div w:id="408819419">
      <w:bodyDiv w:val="1"/>
      <w:marLeft w:val="0"/>
      <w:marRight w:val="0"/>
      <w:marTop w:val="0"/>
      <w:marBottom w:val="0"/>
      <w:divBdr>
        <w:top w:val="none" w:sz="0" w:space="0" w:color="auto"/>
        <w:left w:val="none" w:sz="0" w:space="0" w:color="auto"/>
        <w:bottom w:val="none" w:sz="0" w:space="0" w:color="auto"/>
        <w:right w:val="none" w:sz="0" w:space="0" w:color="auto"/>
      </w:divBdr>
    </w:div>
    <w:div w:id="409740457">
      <w:bodyDiv w:val="1"/>
      <w:marLeft w:val="0"/>
      <w:marRight w:val="0"/>
      <w:marTop w:val="0"/>
      <w:marBottom w:val="0"/>
      <w:divBdr>
        <w:top w:val="none" w:sz="0" w:space="0" w:color="auto"/>
        <w:left w:val="none" w:sz="0" w:space="0" w:color="auto"/>
        <w:bottom w:val="none" w:sz="0" w:space="0" w:color="auto"/>
        <w:right w:val="none" w:sz="0" w:space="0" w:color="auto"/>
      </w:divBdr>
    </w:div>
    <w:div w:id="410271096">
      <w:bodyDiv w:val="1"/>
      <w:marLeft w:val="0"/>
      <w:marRight w:val="0"/>
      <w:marTop w:val="0"/>
      <w:marBottom w:val="0"/>
      <w:divBdr>
        <w:top w:val="none" w:sz="0" w:space="0" w:color="auto"/>
        <w:left w:val="none" w:sz="0" w:space="0" w:color="auto"/>
        <w:bottom w:val="none" w:sz="0" w:space="0" w:color="auto"/>
        <w:right w:val="none" w:sz="0" w:space="0" w:color="auto"/>
      </w:divBdr>
    </w:div>
    <w:div w:id="413822572">
      <w:bodyDiv w:val="1"/>
      <w:marLeft w:val="0"/>
      <w:marRight w:val="0"/>
      <w:marTop w:val="0"/>
      <w:marBottom w:val="0"/>
      <w:divBdr>
        <w:top w:val="none" w:sz="0" w:space="0" w:color="auto"/>
        <w:left w:val="none" w:sz="0" w:space="0" w:color="auto"/>
        <w:bottom w:val="none" w:sz="0" w:space="0" w:color="auto"/>
        <w:right w:val="none" w:sz="0" w:space="0" w:color="auto"/>
      </w:divBdr>
    </w:div>
    <w:div w:id="414858697">
      <w:bodyDiv w:val="1"/>
      <w:marLeft w:val="0"/>
      <w:marRight w:val="0"/>
      <w:marTop w:val="0"/>
      <w:marBottom w:val="0"/>
      <w:divBdr>
        <w:top w:val="none" w:sz="0" w:space="0" w:color="auto"/>
        <w:left w:val="none" w:sz="0" w:space="0" w:color="auto"/>
        <w:bottom w:val="none" w:sz="0" w:space="0" w:color="auto"/>
        <w:right w:val="none" w:sz="0" w:space="0" w:color="auto"/>
      </w:divBdr>
    </w:div>
    <w:div w:id="415710270">
      <w:bodyDiv w:val="1"/>
      <w:marLeft w:val="0"/>
      <w:marRight w:val="0"/>
      <w:marTop w:val="0"/>
      <w:marBottom w:val="0"/>
      <w:divBdr>
        <w:top w:val="none" w:sz="0" w:space="0" w:color="auto"/>
        <w:left w:val="none" w:sz="0" w:space="0" w:color="auto"/>
        <w:bottom w:val="none" w:sz="0" w:space="0" w:color="auto"/>
        <w:right w:val="none" w:sz="0" w:space="0" w:color="auto"/>
      </w:divBdr>
    </w:div>
    <w:div w:id="416168708">
      <w:bodyDiv w:val="1"/>
      <w:marLeft w:val="0"/>
      <w:marRight w:val="0"/>
      <w:marTop w:val="0"/>
      <w:marBottom w:val="0"/>
      <w:divBdr>
        <w:top w:val="none" w:sz="0" w:space="0" w:color="auto"/>
        <w:left w:val="none" w:sz="0" w:space="0" w:color="auto"/>
        <w:bottom w:val="none" w:sz="0" w:space="0" w:color="auto"/>
        <w:right w:val="none" w:sz="0" w:space="0" w:color="auto"/>
      </w:divBdr>
    </w:div>
    <w:div w:id="417600423">
      <w:bodyDiv w:val="1"/>
      <w:marLeft w:val="0"/>
      <w:marRight w:val="0"/>
      <w:marTop w:val="0"/>
      <w:marBottom w:val="0"/>
      <w:divBdr>
        <w:top w:val="none" w:sz="0" w:space="0" w:color="auto"/>
        <w:left w:val="none" w:sz="0" w:space="0" w:color="auto"/>
        <w:bottom w:val="none" w:sz="0" w:space="0" w:color="auto"/>
        <w:right w:val="none" w:sz="0" w:space="0" w:color="auto"/>
      </w:divBdr>
    </w:div>
    <w:div w:id="418327714">
      <w:bodyDiv w:val="1"/>
      <w:marLeft w:val="0"/>
      <w:marRight w:val="0"/>
      <w:marTop w:val="0"/>
      <w:marBottom w:val="0"/>
      <w:divBdr>
        <w:top w:val="none" w:sz="0" w:space="0" w:color="auto"/>
        <w:left w:val="none" w:sz="0" w:space="0" w:color="auto"/>
        <w:bottom w:val="none" w:sz="0" w:space="0" w:color="auto"/>
        <w:right w:val="none" w:sz="0" w:space="0" w:color="auto"/>
      </w:divBdr>
    </w:div>
    <w:div w:id="418334269">
      <w:bodyDiv w:val="1"/>
      <w:marLeft w:val="0"/>
      <w:marRight w:val="0"/>
      <w:marTop w:val="0"/>
      <w:marBottom w:val="0"/>
      <w:divBdr>
        <w:top w:val="none" w:sz="0" w:space="0" w:color="auto"/>
        <w:left w:val="none" w:sz="0" w:space="0" w:color="auto"/>
        <w:bottom w:val="none" w:sz="0" w:space="0" w:color="auto"/>
        <w:right w:val="none" w:sz="0" w:space="0" w:color="auto"/>
      </w:divBdr>
    </w:div>
    <w:div w:id="418912911">
      <w:bodyDiv w:val="1"/>
      <w:marLeft w:val="0"/>
      <w:marRight w:val="0"/>
      <w:marTop w:val="0"/>
      <w:marBottom w:val="0"/>
      <w:divBdr>
        <w:top w:val="none" w:sz="0" w:space="0" w:color="auto"/>
        <w:left w:val="none" w:sz="0" w:space="0" w:color="auto"/>
        <w:bottom w:val="none" w:sz="0" w:space="0" w:color="auto"/>
        <w:right w:val="none" w:sz="0" w:space="0" w:color="auto"/>
      </w:divBdr>
    </w:div>
    <w:div w:id="419257781">
      <w:bodyDiv w:val="1"/>
      <w:marLeft w:val="0"/>
      <w:marRight w:val="0"/>
      <w:marTop w:val="0"/>
      <w:marBottom w:val="0"/>
      <w:divBdr>
        <w:top w:val="none" w:sz="0" w:space="0" w:color="auto"/>
        <w:left w:val="none" w:sz="0" w:space="0" w:color="auto"/>
        <w:bottom w:val="none" w:sz="0" w:space="0" w:color="auto"/>
        <w:right w:val="none" w:sz="0" w:space="0" w:color="auto"/>
      </w:divBdr>
    </w:div>
    <w:div w:id="421073548">
      <w:bodyDiv w:val="1"/>
      <w:marLeft w:val="0"/>
      <w:marRight w:val="0"/>
      <w:marTop w:val="0"/>
      <w:marBottom w:val="0"/>
      <w:divBdr>
        <w:top w:val="none" w:sz="0" w:space="0" w:color="auto"/>
        <w:left w:val="none" w:sz="0" w:space="0" w:color="auto"/>
        <w:bottom w:val="none" w:sz="0" w:space="0" w:color="auto"/>
        <w:right w:val="none" w:sz="0" w:space="0" w:color="auto"/>
      </w:divBdr>
    </w:div>
    <w:div w:id="424958054">
      <w:bodyDiv w:val="1"/>
      <w:marLeft w:val="0"/>
      <w:marRight w:val="0"/>
      <w:marTop w:val="0"/>
      <w:marBottom w:val="0"/>
      <w:divBdr>
        <w:top w:val="none" w:sz="0" w:space="0" w:color="auto"/>
        <w:left w:val="none" w:sz="0" w:space="0" w:color="auto"/>
        <w:bottom w:val="none" w:sz="0" w:space="0" w:color="auto"/>
        <w:right w:val="none" w:sz="0" w:space="0" w:color="auto"/>
      </w:divBdr>
    </w:div>
    <w:div w:id="428086406">
      <w:bodyDiv w:val="1"/>
      <w:marLeft w:val="0"/>
      <w:marRight w:val="0"/>
      <w:marTop w:val="0"/>
      <w:marBottom w:val="0"/>
      <w:divBdr>
        <w:top w:val="none" w:sz="0" w:space="0" w:color="auto"/>
        <w:left w:val="none" w:sz="0" w:space="0" w:color="auto"/>
        <w:bottom w:val="none" w:sz="0" w:space="0" w:color="auto"/>
        <w:right w:val="none" w:sz="0" w:space="0" w:color="auto"/>
      </w:divBdr>
    </w:div>
    <w:div w:id="431437564">
      <w:bodyDiv w:val="1"/>
      <w:marLeft w:val="0"/>
      <w:marRight w:val="0"/>
      <w:marTop w:val="0"/>
      <w:marBottom w:val="0"/>
      <w:divBdr>
        <w:top w:val="none" w:sz="0" w:space="0" w:color="auto"/>
        <w:left w:val="none" w:sz="0" w:space="0" w:color="auto"/>
        <w:bottom w:val="none" w:sz="0" w:space="0" w:color="auto"/>
        <w:right w:val="none" w:sz="0" w:space="0" w:color="auto"/>
      </w:divBdr>
    </w:div>
    <w:div w:id="431555679">
      <w:bodyDiv w:val="1"/>
      <w:marLeft w:val="0"/>
      <w:marRight w:val="0"/>
      <w:marTop w:val="0"/>
      <w:marBottom w:val="0"/>
      <w:divBdr>
        <w:top w:val="none" w:sz="0" w:space="0" w:color="auto"/>
        <w:left w:val="none" w:sz="0" w:space="0" w:color="auto"/>
        <w:bottom w:val="none" w:sz="0" w:space="0" w:color="auto"/>
        <w:right w:val="none" w:sz="0" w:space="0" w:color="auto"/>
      </w:divBdr>
    </w:div>
    <w:div w:id="432092467">
      <w:bodyDiv w:val="1"/>
      <w:marLeft w:val="0"/>
      <w:marRight w:val="0"/>
      <w:marTop w:val="0"/>
      <w:marBottom w:val="0"/>
      <w:divBdr>
        <w:top w:val="none" w:sz="0" w:space="0" w:color="auto"/>
        <w:left w:val="none" w:sz="0" w:space="0" w:color="auto"/>
        <w:bottom w:val="none" w:sz="0" w:space="0" w:color="auto"/>
        <w:right w:val="none" w:sz="0" w:space="0" w:color="auto"/>
      </w:divBdr>
    </w:div>
    <w:div w:id="434906341">
      <w:bodyDiv w:val="1"/>
      <w:marLeft w:val="0"/>
      <w:marRight w:val="0"/>
      <w:marTop w:val="0"/>
      <w:marBottom w:val="0"/>
      <w:divBdr>
        <w:top w:val="none" w:sz="0" w:space="0" w:color="auto"/>
        <w:left w:val="none" w:sz="0" w:space="0" w:color="auto"/>
        <w:bottom w:val="none" w:sz="0" w:space="0" w:color="auto"/>
        <w:right w:val="none" w:sz="0" w:space="0" w:color="auto"/>
      </w:divBdr>
    </w:div>
    <w:div w:id="438910677">
      <w:bodyDiv w:val="1"/>
      <w:marLeft w:val="0"/>
      <w:marRight w:val="0"/>
      <w:marTop w:val="0"/>
      <w:marBottom w:val="0"/>
      <w:divBdr>
        <w:top w:val="none" w:sz="0" w:space="0" w:color="auto"/>
        <w:left w:val="none" w:sz="0" w:space="0" w:color="auto"/>
        <w:bottom w:val="none" w:sz="0" w:space="0" w:color="auto"/>
        <w:right w:val="none" w:sz="0" w:space="0" w:color="auto"/>
      </w:divBdr>
    </w:div>
    <w:div w:id="444885301">
      <w:bodyDiv w:val="1"/>
      <w:marLeft w:val="0"/>
      <w:marRight w:val="0"/>
      <w:marTop w:val="0"/>
      <w:marBottom w:val="0"/>
      <w:divBdr>
        <w:top w:val="none" w:sz="0" w:space="0" w:color="auto"/>
        <w:left w:val="none" w:sz="0" w:space="0" w:color="auto"/>
        <w:bottom w:val="none" w:sz="0" w:space="0" w:color="auto"/>
        <w:right w:val="none" w:sz="0" w:space="0" w:color="auto"/>
      </w:divBdr>
    </w:div>
    <w:div w:id="446657899">
      <w:bodyDiv w:val="1"/>
      <w:marLeft w:val="0"/>
      <w:marRight w:val="0"/>
      <w:marTop w:val="0"/>
      <w:marBottom w:val="0"/>
      <w:divBdr>
        <w:top w:val="none" w:sz="0" w:space="0" w:color="auto"/>
        <w:left w:val="none" w:sz="0" w:space="0" w:color="auto"/>
        <w:bottom w:val="none" w:sz="0" w:space="0" w:color="auto"/>
        <w:right w:val="none" w:sz="0" w:space="0" w:color="auto"/>
      </w:divBdr>
    </w:div>
    <w:div w:id="446702398">
      <w:bodyDiv w:val="1"/>
      <w:marLeft w:val="0"/>
      <w:marRight w:val="0"/>
      <w:marTop w:val="0"/>
      <w:marBottom w:val="0"/>
      <w:divBdr>
        <w:top w:val="none" w:sz="0" w:space="0" w:color="auto"/>
        <w:left w:val="none" w:sz="0" w:space="0" w:color="auto"/>
        <w:bottom w:val="none" w:sz="0" w:space="0" w:color="auto"/>
        <w:right w:val="none" w:sz="0" w:space="0" w:color="auto"/>
      </w:divBdr>
    </w:div>
    <w:div w:id="449864279">
      <w:bodyDiv w:val="1"/>
      <w:marLeft w:val="0"/>
      <w:marRight w:val="0"/>
      <w:marTop w:val="0"/>
      <w:marBottom w:val="0"/>
      <w:divBdr>
        <w:top w:val="none" w:sz="0" w:space="0" w:color="auto"/>
        <w:left w:val="none" w:sz="0" w:space="0" w:color="auto"/>
        <w:bottom w:val="none" w:sz="0" w:space="0" w:color="auto"/>
        <w:right w:val="none" w:sz="0" w:space="0" w:color="auto"/>
      </w:divBdr>
    </w:div>
    <w:div w:id="451628684">
      <w:bodyDiv w:val="1"/>
      <w:marLeft w:val="0"/>
      <w:marRight w:val="0"/>
      <w:marTop w:val="0"/>
      <w:marBottom w:val="0"/>
      <w:divBdr>
        <w:top w:val="none" w:sz="0" w:space="0" w:color="auto"/>
        <w:left w:val="none" w:sz="0" w:space="0" w:color="auto"/>
        <w:bottom w:val="none" w:sz="0" w:space="0" w:color="auto"/>
        <w:right w:val="none" w:sz="0" w:space="0" w:color="auto"/>
      </w:divBdr>
    </w:div>
    <w:div w:id="452484308">
      <w:bodyDiv w:val="1"/>
      <w:marLeft w:val="0"/>
      <w:marRight w:val="0"/>
      <w:marTop w:val="0"/>
      <w:marBottom w:val="0"/>
      <w:divBdr>
        <w:top w:val="none" w:sz="0" w:space="0" w:color="auto"/>
        <w:left w:val="none" w:sz="0" w:space="0" w:color="auto"/>
        <w:bottom w:val="none" w:sz="0" w:space="0" w:color="auto"/>
        <w:right w:val="none" w:sz="0" w:space="0" w:color="auto"/>
      </w:divBdr>
    </w:div>
    <w:div w:id="454911227">
      <w:bodyDiv w:val="1"/>
      <w:marLeft w:val="0"/>
      <w:marRight w:val="0"/>
      <w:marTop w:val="0"/>
      <w:marBottom w:val="0"/>
      <w:divBdr>
        <w:top w:val="none" w:sz="0" w:space="0" w:color="auto"/>
        <w:left w:val="none" w:sz="0" w:space="0" w:color="auto"/>
        <w:bottom w:val="none" w:sz="0" w:space="0" w:color="auto"/>
        <w:right w:val="none" w:sz="0" w:space="0" w:color="auto"/>
      </w:divBdr>
    </w:div>
    <w:div w:id="456604601">
      <w:bodyDiv w:val="1"/>
      <w:marLeft w:val="0"/>
      <w:marRight w:val="0"/>
      <w:marTop w:val="0"/>
      <w:marBottom w:val="0"/>
      <w:divBdr>
        <w:top w:val="none" w:sz="0" w:space="0" w:color="auto"/>
        <w:left w:val="none" w:sz="0" w:space="0" w:color="auto"/>
        <w:bottom w:val="none" w:sz="0" w:space="0" w:color="auto"/>
        <w:right w:val="none" w:sz="0" w:space="0" w:color="auto"/>
      </w:divBdr>
    </w:div>
    <w:div w:id="459766802">
      <w:bodyDiv w:val="1"/>
      <w:marLeft w:val="0"/>
      <w:marRight w:val="0"/>
      <w:marTop w:val="0"/>
      <w:marBottom w:val="0"/>
      <w:divBdr>
        <w:top w:val="none" w:sz="0" w:space="0" w:color="auto"/>
        <w:left w:val="none" w:sz="0" w:space="0" w:color="auto"/>
        <w:bottom w:val="none" w:sz="0" w:space="0" w:color="auto"/>
        <w:right w:val="none" w:sz="0" w:space="0" w:color="auto"/>
      </w:divBdr>
    </w:div>
    <w:div w:id="460464812">
      <w:bodyDiv w:val="1"/>
      <w:marLeft w:val="0"/>
      <w:marRight w:val="0"/>
      <w:marTop w:val="0"/>
      <w:marBottom w:val="0"/>
      <w:divBdr>
        <w:top w:val="none" w:sz="0" w:space="0" w:color="auto"/>
        <w:left w:val="none" w:sz="0" w:space="0" w:color="auto"/>
        <w:bottom w:val="none" w:sz="0" w:space="0" w:color="auto"/>
        <w:right w:val="none" w:sz="0" w:space="0" w:color="auto"/>
      </w:divBdr>
    </w:div>
    <w:div w:id="467935174">
      <w:bodyDiv w:val="1"/>
      <w:marLeft w:val="0"/>
      <w:marRight w:val="0"/>
      <w:marTop w:val="0"/>
      <w:marBottom w:val="0"/>
      <w:divBdr>
        <w:top w:val="none" w:sz="0" w:space="0" w:color="auto"/>
        <w:left w:val="none" w:sz="0" w:space="0" w:color="auto"/>
        <w:bottom w:val="none" w:sz="0" w:space="0" w:color="auto"/>
        <w:right w:val="none" w:sz="0" w:space="0" w:color="auto"/>
      </w:divBdr>
    </w:div>
    <w:div w:id="468519149">
      <w:bodyDiv w:val="1"/>
      <w:marLeft w:val="0"/>
      <w:marRight w:val="0"/>
      <w:marTop w:val="0"/>
      <w:marBottom w:val="0"/>
      <w:divBdr>
        <w:top w:val="none" w:sz="0" w:space="0" w:color="auto"/>
        <w:left w:val="none" w:sz="0" w:space="0" w:color="auto"/>
        <w:bottom w:val="none" w:sz="0" w:space="0" w:color="auto"/>
        <w:right w:val="none" w:sz="0" w:space="0" w:color="auto"/>
      </w:divBdr>
    </w:div>
    <w:div w:id="468939454">
      <w:bodyDiv w:val="1"/>
      <w:marLeft w:val="0"/>
      <w:marRight w:val="0"/>
      <w:marTop w:val="0"/>
      <w:marBottom w:val="0"/>
      <w:divBdr>
        <w:top w:val="none" w:sz="0" w:space="0" w:color="auto"/>
        <w:left w:val="none" w:sz="0" w:space="0" w:color="auto"/>
        <w:bottom w:val="none" w:sz="0" w:space="0" w:color="auto"/>
        <w:right w:val="none" w:sz="0" w:space="0" w:color="auto"/>
      </w:divBdr>
    </w:div>
    <w:div w:id="469594696">
      <w:bodyDiv w:val="1"/>
      <w:marLeft w:val="0"/>
      <w:marRight w:val="0"/>
      <w:marTop w:val="0"/>
      <w:marBottom w:val="0"/>
      <w:divBdr>
        <w:top w:val="none" w:sz="0" w:space="0" w:color="auto"/>
        <w:left w:val="none" w:sz="0" w:space="0" w:color="auto"/>
        <w:bottom w:val="none" w:sz="0" w:space="0" w:color="auto"/>
        <w:right w:val="none" w:sz="0" w:space="0" w:color="auto"/>
      </w:divBdr>
    </w:div>
    <w:div w:id="469713514">
      <w:bodyDiv w:val="1"/>
      <w:marLeft w:val="0"/>
      <w:marRight w:val="0"/>
      <w:marTop w:val="0"/>
      <w:marBottom w:val="0"/>
      <w:divBdr>
        <w:top w:val="none" w:sz="0" w:space="0" w:color="auto"/>
        <w:left w:val="none" w:sz="0" w:space="0" w:color="auto"/>
        <w:bottom w:val="none" w:sz="0" w:space="0" w:color="auto"/>
        <w:right w:val="none" w:sz="0" w:space="0" w:color="auto"/>
      </w:divBdr>
    </w:div>
    <w:div w:id="470249171">
      <w:bodyDiv w:val="1"/>
      <w:marLeft w:val="0"/>
      <w:marRight w:val="0"/>
      <w:marTop w:val="0"/>
      <w:marBottom w:val="0"/>
      <w:divBdr>
        <w:top w:val="none" w:sz="0" w:space="0" w:color="auto"/>
        <w:left w:val="none" w:sz="0" w:space="0" w:color="auto"/>
        <w:bottom w:val="none" w:sz="0" w:space="0" w:color="auto"/>
        <w:right w:val="none" w:sz="0" w:space="0" w:color="auto"/>
      </w:divBdr>
    </w:div>
    <w:div w:id="474612206">
      <w:bodyDiv w:val="1"/>
      <w:marLeft w:val="0"/>
      <w:marRight w:val="0"/>
      <w:marTop w:val="0"/>
      <w:marBottom w:val="0"/>
      <w:divBdr>
        <w:top w:val="none" w:sz="0" w:space="0" w:color="auto"/>
        <w:left w:val="none" w:sz="0" w:space="0" w:color="auto"/>
        <w:bottom w:val="none" w:sz="0" w:space="0" w:color="auto"/>
        <w:right w:val="none" w:sz="0" w:space="0" w:color="auto"/>
      </w:divBdr>
    </w:div>
    <w:div w:id="476459771">
      <w:bodyDiv w:val="1"/>
      <w:marLeft w:val="0"/>
      <w:marRight w:val="0"/>
      <w:marTop w:val="0"/>
      <w:marBottom w:val="0"/>
      <w:divBdr>
        <w:top w:val="none" w:sz="0" w:space="0" w:color="auto"/>
        <w:left w:val="none" w:sz="0" w:space="0" w:color="auto"/>
        <w:bottom w:val="none" w:sz="0" w:space="0" w:color="auto"/>
        <w:right w:val="none" w:sz="0" w:space="0" w:color="auto"/>
      </w:divBdr>
    </w:div>
    <w:div w:id="478689846">
      <w:bodyDiv w:val="1"/>
      <w:marLeft w:val="0"/>
      <w:marRight w:val="0"/>
      <w:marTop w:val="0"/>
      <w:marBottom w:val="0"/>
      <w:divBdr>
        <w:top w:val="none" w:sz="0" w:space="0" w:color="auto"/>
        <w:left w:val="none" w:sz="0" w:space="0" w:color="auto"/>
        <w:bottom w:val="none" w:sz="0" w:space="0" w:color="auto"/>
        <w:right w:val="none" w:sz="0" w:space="0" w:color="auto"/>
      </w:divBdr>
    </w:div>
    <w:div w:id="481310898">
      <w:bodyDiv w:val="1"/>
      <w:marLeft w:val="0"/>
      <w:marRight w:val="0"/>
      <w:marTop w:val="0"/>
      <w:marBottom w:val="0"/>
      <w:divBdr>
        <w:top w:val="none" w:sz="0" w:space="0" w:color="auto"/>
        <w:left w:val="none" w:sz="0" w:space="0" w:color="auto"/>
        <w:bottom w:val="none" w:sz="0" w:space="0" w:color="auto"/>
        <w:right w:val="none" w:sz="0" w:space="0" w:color="auto"/>
      </w:divBdr>
    </w:div>
    <w:div w:id="483087178">
      <w:bodyDiv w:val="1"/>
      <w:marLeft w:val="0"/>
      <w:marRight w:val="0"/>
      <w:marTop w:val="0"/>
      <w:marBottom w:val="0"/>
      <w:divBdr>
        <w:top w:val="none" w:sz="0" w:space="0" w:color="auto"/>
        <w:left w:val="none" w:sz="0" w:space="0" w:color="auto"/>
        <w:bottom w:val="none" w:sz="0" w:space="0" w:color="auto"/>
        <w:right w:val="none" w:sz="0" w:space="0" w:color="auto"/>
      </w:divBdr>
    </w:div>
    <w:div w:id="486289130">
      <w:bodyDiv w:val="1"/>
      <w:marLeft w:val="0"/>
      <w:marRight w:val="0"/>
      <w:marTop w:val="0"/>
      <w:marBottom w:val="0"/>
      <w:divBdr>
        <w:top w:val="none" w:sz="0" w:space="0" w:color="auto"/>
        <w:left w:val="none" w:sz="0" w:space="0" w:color="auto"/>
        <w:bottom w:val="none" w:sz="0" w:space="0" w:color="auto"/>
        <w:right w:val="none" w:sz="0" w:space="0" w:color="auto"/>
      </w:divBdr>
    </w:div>
    <w:div w:id="487676677">
      <w:bodyDiv w:val="1"/>
      <w:marLeft w:val="0"/>
      <w:marRight w:val="0"/>
      <w:marTop w:val="0"/>
      <w:marBottom w:val="0"/>
      <w:divBdr>
        <w:top w:val="none" w:sz="0" w:space="0" w:color="auto"/>
        <w:left w:val="none" w:sz="0" w:space="0" w:color="auto"/>
        <w:bottom w:val="none" w:sz="0" w:space="0" w:color="auto"/>
        <w:right w:val="none" w:sz="0" w:space="0" w:color="auto"/>
      </w:divBdr>
    </w:div>
    <w:div w:id="488326137">
      <w:bodyDiv w:val="1"/>
      <w:marLeft w:val="0"/>
      <w:marRight w:val="0"/>
      <w:marTop w:val="0"/>
      <w:marBottom w:val="0"/>
      <w:divBdr>
        <w:top w:val="none" w:sz="0" w:space="0" w:color="auto"/>
        <w:left w:val="none" w:sz="0" w:space="0" w:color="auto"/>
        <w:bottom w:val="none" w:sz="0" w:space="0" w:color="auto"/>
        <w:right w:val="none" w:sz="0" w:space="0" w:color="auto"/>
      </w:divBdr>
    </w:div>
    <w:div w:id="493029510">
      <w:bodyDiv w:val="1"/>
      <w:marLeft w:val="0"/>
      <w:marRight w:val="0"/>
      <w:marTop w:val="0"/>
      <w:marBottom w:val="0"/>
      <w:divBdr>
        <w:top w:val="none" w:sz="0" w:space="0" w:color="auto"/>
        <w:left w:val="none" w:sz="0" w:space="0" w:color="auto"/>
        <w:bottom w:val="none" w:sz="0" w:space="0" w:color="auto"/>
        <w:right w:val="none" w:sz="0" w:space="0" w:color="auto"/>
      </w:divBdr>
    </w:div>
    <w:div w:id="493451206">
      <w:bodyDiv w:val="1"/>
      <w:marLeft w:val="0"/>
      <w:marRight w:val="0"/>
      <w:marTop w:val="0"/>
      <w:marBottom w:val="0"/>
      <w:divBdr>
        <w:top w:val="none" w:sz="0" w:space="0" w:color="auto"/>
        <w:left w:val="none" w:sz="0" w:space="0" w:color="auto"/>
        <w:bottom w:val="none" w:sz="0" w:space="0" w:color="auto"/>
        <w:right w:val="none" w:sz="0" w:space="0" w:color="auto"/>
      </w:divBdr>
    </w:div>
    <w:div w:id="494222296">
      <w:bodyDiv w:val="1"/>
      <w:marLeft w:val="0"/>
      <w:marRight w:val="0"/>
      <w:marTop w:val="0"/>
      <w:marBottom w:val="0"/>
      <w:divBdr>
        <w:top w:val="none" w:sz="0" w:space="0" w:color="auto"/>
        <w:left w:val="none" w:sz="0" w:space="0" w:color="auto"/>
        <w:bottom w:val="none" w:sz="0" w:space="0" w:color="auto"/>
        <w:right w:val="none" w:sz="0" w:space="0" w:color="auto"/>
      </w:divBdr>
    </w:div>
    <w:div w:id="494959960">
      <w:bodyDiv w:val="1"/>
      <w:marLeft w:val="0"/>
      <w:marRight w:val="0"/>
      <w:marTop w:val="0"/>
      <w:marBottom w:val="0"/>
      <w:divBdr>
        <w:top w:val="none" w:sz="0" w:space="0" w:color="auto"/>
        <w:left w:val="none" w:sz="0" w:space="0" w:color="auto"/>
        <w:bottom w:val="none" w:sz="0" w:space="0" w:color="auto"/>
        <w:right w:val="none" w:sz="0" w:space="0" w:color="auto"/>
      </w:divBdr>
    </w:div>
    <w:div w:id="497502411">
      <w:bodyDiv w:val="1"/>
      <w:marLeft w:val="0"/>
      <w:marRight w:val="0"/>
      <w:marTop w:val="0"/>
      <w:marBottom w:val="0"/>
      <w:divBdr>
        <w:top w:val="none" w:sz="0" w:space="0" w:color="auto"/>
        <w:left w:val="none" w:sz="0" w:space="0" w:color="auto"/>
        <w:bottom w:val="none" w:sz="0" w:space="0" w:color="auto"/>
        <w:right w:val="none" w:sz="0" w:space="0" w:color="auto"/>
      </w:divBdr>
    </w:div>
    <w:div w:id="499272380">
      <w:bodyDiv w:val="1"/>
      <w:marLeft w:val="0"/>
      <w:marRight w:val="0"/>
      <w:marTop w:val="0"/>
      <w:marBottom w:val="0"/>
      <w:divBdr>
        <w:top w:val="none" w:sz="0" w:space="0" w:color="auto"/>
        <w:left w:val="none" w:sz="0" w:space="0" w:color="auto"/>
        <w:bottom w:val="none" w:sz="0" w:space="0" w:color="auto"/>
        <w:right w:val="none" w:sz="0" w:space="0" w:color="auto"/>
      </w:divBdr>
    </w:div>
    <w:div w:id="504243529">
      <w:bodyDiv w:val="1"/>
      <w:marLeft w:val="0"/>
      <w:marRight w:val="0"/>
      <w:marTop w:val="0"/>
      <w:marBottom w:val="0"/>
      <w:divBdr>
        <w:top w:val="none" w:sz="0" w:space="0" w:color="auto"/>
        <w:left w:val="none" w:sz="0" w:space="0" w:color="auto"/>
        <w:bottom w:val="none" w:sz="0" w:space="0" w:color="auto"/>
        <w:right w:val="none" w:sz="0" w:space="0" w:color="auto"/>
      </w:divBdr>
    </w:div>
    <w:div w:id="508714988">
      <w:bodyDiv w:val="1"/>
      <w:marLeft w:val="0"/>
      <w:marRight w:val="0"/>
      <w:marTop w:val="0"/>
      <w:marBottom w:val="0"/>
      <w:divBdr>
        <w:top w:val="none" w:sz="0" w:space="0" w:color="auto"/>
        <w:left w:val="none" w:sz="0" w:space="0" w:color="auto"/>
        <w:bottom w:val="none" w:sz="0" w:space="0" w:color="auto"/>
        <w:right w:val="none" w:sz="0" w:space="0" w:color="auto"/>
      </w:divBdr>
    </w:div>
    <w:div w:id="511067844">
      <w:bodyDiv w:val="1"/>
      <w:marLeft w:val="0"/>
      <w:marRight w:val="0"/>
      <w:marTop w:val="0"/>
      <w:marBottom w:val="0"/>
      <w:divBdr>
        <w:top w:val="none" w:sz="0" w:space="0" w:color="auto"/>
        <w:left w:val="none" w:sz="0" w:space="0" w:color="auto"/>
        <w:bottom w:val="none" w:sz="0" w:space="0" w:color="auto"/>
        <w:right w:val="none" w:sz="0" w:space="0" w:color="auto"/>
      </w:divBdr>
    </w:div>
    <w:div w:id="511338706">
      <w:bodyDiv w:val="1"/>
      <w:marLeft w:val="0"/>
      <w:marRight w:val="0"/>
      <w:marTop w:val="0"/>
      <w:marBottom w:val="0"/>
      <w:divBdr>
        <w:top w:val="none" w:sz="0" w:space="0" w:color="auto"/>
        <w:left w:val="none" w:sz="0" w:space="0" w:color="auto"/>
        <w:bottom w:val="none" w:sz="0" w:space="0" w:color="auto"/>
        <w:right w:val="none" w:sz="0" w:space="0" w:color="auto"/>
      </w:divBdr>
    </w:div>
    <w:div w:id="512065243">
      <w:bodyDiv w:val="1"/>
      <w:marLeft w:val="0"/>
      <w:marRight w:val="0"/>
      <w:marTop w:val="0"/>
      <w:marBottom w:val="0"/>
      <w:divBdr>
        <w:top w:val="none" w:sz="0" w:space="0" w:color="auto"/>
        <w:left w:val="none" w:sz="0" w:space="0" w:color="auto"/>
        <w:bottom w:val="none" w:sz="0" w:space="0" w:color="auto"/>
        <w:right w:val="none" w:sz="0" w:space="0" w:color="auto"/>
      </w:divBdr>
    </w:div>
    <w:div w:id="512770198">
      <w:bodyDiv w:val="1"/>
      <w:marLeft w:val="0"/>
      <w:marRight w:val="0"/>
      <w:marTop w:val="0"/>
      <w:marBottom w:val="0"/>
      <w:divBdr>
        <w:top w:val="none" w:sz="0" w:space="0" w:color="auto"/>
        <w:left w:val="none" w:sz="0" w:space="0" w:color="auto"/>
        <w:bottom w:val="none" w:sz="0" w:space="0" w:color="auto"/>
        <w:right w:val="none" w:sz="0" w:space="0" w:color="auto"/>
      </w:divBdr>
      <w:divsChild>
        <w:div w:id="1692877623">
          <w:marLeft w:val="547"/>
          <w:marRight w:val="0"/>
          <w:marTop w:val="0"/>
          <w:marBottom w:val="0"/>
          <w:divBdr>
            <w:top w:val="none" w:sz="0" w:space="0" w:color="auto"/>
            <w:left w:val="none" w:sz="0" w:space="0" w:color="auto"/>
            <w:bottom w:val="none" w:sz="0" w:space="0" w:color="auto"/>
            <w:right w:val="none" w:sz="0" w:space="0" w:color="auto"/>
          </w:divBdr>
        </w:div>
      </w:divsChild>
    </w:div>
    <w:div w:id="512957247">
      <w:bodyDiv w:val="1"/>
      <w:marLeft w:val="0"/>
      <w:marRight w:val="0"/>
      <w:marTop w:val="0"/>
      <w:marBottom w:val="0"/>
      <w:divBdr>
        <w:top w:val="none" w:sz="0" w:space="0" w:color="auto"/>
        <w:left w:val="none" w:sz="0" w:space="0" w:color="auto"/>
        <w:bottom w:val="none" w:sz="0" w:space="0" w:color="auto"/>
        <w:right w:val="none" w:sz="0" w:space="0" w:color="auto"/>
      </w:divBdr>
    </w:div>
    <w:div w:id="518737021">
      <w:bodyDiv w:val="1"/>
      <w:marLeft w:val="0"/>
      <w:marRight w:val="0"/>
      <w:marTop w:val="0"/>
      <w:marBottom w:val="0"/>
      <w:divBdr>
        <w:top w:val="none" w:sz="0" w:space="0" w:color="auto"/>
        <w:left w:val="none" w:sz="0" w:space="0" w:color="auto"/>
        <w:bottom w:val="none" w:sz="0" w:space="0" w:color="auto"/>
        <w:right w:val="none" w:sz="0" w:space="0" w:color="auto"/>
      </w:divBdr>
    </w:div>
    <w:div w:id="519241932">
      <w:bodyDiv w:val="1"/>
      <w:marLeft w:val="0"/>
      <w:marRight w:val="0"/>
      <w:marTop w:val="0"/>
      <w:marBottom w:val="0"/>
      <w:divBdr>
        <w:top w:val="none" w:sz="0" w:space="0" w:color="auto"/>
        <w:left w:val="none" w:sz="0" w:space="0" w:color="auto"/>
        <w:bottom w:val="none" w:sz="0" w:space="0" w:color="auto"/>
        <w:right w:val="none" w:sz="0" w:space="0" w:color="auto"/>
      </w:divBdr>
    </w:div>
    <w:div w:id="519515439">
      <w:bodyDiv w:val="1"/>
      <w:marLeft w:val="0"/>
      <w:marRight w:val="0"/>
      <w:marTop w:val="0"/>
      <w:marBottom w:val="0"/>
      <w:divBdr>
        <w:top w:val="none" w:sz="0" w:space="0" w:color="auto"/>
        <w:left w:val="none" w:sz="0" w:space="0" w:color="auto"/>
        <w:bottom w:val="none" w:sz="0" w:space="0" w:color="auto"/>
        <w:right w:val="none" w:sz="0" w:space="0" w:color="auto"/>
      </w:divBdr>
    </w:div>
    <w:div w:id="519854292">
      <w:bodyDiv w:val="1"/>
      <w:marLeft w:val="0"/>
      <w:marRight w:val="0"/>
      <w:marTop w:val="0"/>
      <w:marBottom w:val="0"/>
      <w:divBdr>
        <w:top w:val="none" w:sz="0" w:space="0" w:color="auto"/>
        <w:left w:val="none" w:sz="0" w:space="0" w:color="auto"/>
        <w:bottom w:val="none" w:sz="0" w:space="0" w:color="auto"/>
        <w:right w:val="none" w:sz="0" w:space="0" w:color="auto"/>
      </w:divBdr>
    </w:div>
    <w:div w:id="521827068">
      <w:bodyDiv w:val="1"/>
      <w:marLeft w:val="0"/>
      <w:marRight w:val="0"/>
      <w:marTop w:val="0"/>
      <w:marBottom w:val="0"/>
      <w:divBdr>
        <w:top w:val="none" w:sz="0" w:space="0" w:color="auto"/>
        <w:left w:val="none" w:sz="0" w:space="0" w:color="auto"/>
        <w:bottom w:val="none" w:sz="0" w:space="0" w:color="auto"/>
        <w:right w:val="none" w:sz="0" w:space="0" w:color="auto"/>
      </w:divBdr>
    </w:div>
    <w:div w:id="522985341">
      <w:bodyDiv w:val="1"/>
      <w:marLeft w:val="0"/>
      <w:marRight w:val="0"/>
      <w:marTop w:val="0"/>
      <w:marBottom w:val="0"/>
      <w:divBdr>
        <w:top w:val="none" w:sz="0" w:space="0" w:color="auto"/>
        <w:left w:val="none" w:sz="0" w:space="0" w:color="auto"/>
        <w:bottom w:val="none" w:sz="0" w:space="0" w:color="auto"/>
        <w:right w:val="none" w:sz="0" w:space="0" w:color="auto"/>
      </w:divBdr>
    </w:div>
    <w:div w:id="523373211">
      <w:bodyDiv w:val="1"/>
      <w:marLeft w:val="0"/>
      <w:marRight w:val="0"/>
      <w:marTop w:val="0"/>
      <w:marBottom w:val="0"/>
      <w:divBdr>
        <w:top w:val="none" w:sz="0" w:space="0" w:color="auto"/>
        <w:left w:val="none" w:sz="0" w:space="0" w:color="auto"/>
        <w:bottom w:val="none" w:sz="0" w:space="0" w:color="auto"/>
        <w:right w:val="none" w:sz="0" w:space="0" w:color="auto"/>
      </w:divBdr>
    </w:div>
    <w:div w:id="525096812">
      <w:bodyDiv w:val="1"/>
      <w:marLeft w:val="0"/>
      <w:marRight w:val="0"/>
      <w:marTop w:val="0"/>
      <w:marBottom w:val="0"/>
      <w:divBdr>
        <w:top w:val="none" w:sz="0" w:space="0" w:color="auto"/>
        <w:left w:val="none" w:sz="0" w:space="0" w:color="auto"/>
        <w:bottom w:val="none" w:sz="0" w:space="0" w:color="auto"/>
        <w:right w:val="none" w:sz="0" w:space="0" w:color="auto"/>
      </w:divBdr>
    </w:div>
    <w:div w:id="527648750">
      <w:bodyDiv w:val="1"/>
      <w:marLeft w:val="0"/>
      <w:marRight w:val="0"/>
      <w:marTop w:val="0"/>
      <w:marBottom w:val="0"/>
      <w:divBdr>
        <w:top w:val="none" w:sz="0" w:space="0" w:color="auto"/>
        <w:left w:val="none" w:sz="0" w:space="0" w:color="auto"/>
        <w:bottom w:val="none" w:sz="0" w:space="0" w:color="auto"/>
        <w:right w:val="none" w:sz="0" w:space="0" w:color="auto"/>
      </w:divBdr>
    </w:div>
    <w:div w:id="529533903">
      <w:bodyDiv w:val="1"/>
      <w:marLeft w:val="0"/>
      <w:marRight w:val="0"/>
      <w:marTop w:val="0"/>
      <w:marBottom w:val="0"/>
      <w:divBdr>
        <w:top w:val="none" w:sz="0" w:space="0" w:color="auto"/>
        <w:left w:val="none" w:sz="0" w:space="0" w:color="auto"/>
        <w:bottom w:val="none" w:sz="0" w:space="0" w:color="auto"/>
        <w:right w:val="none" w:sz="0" w:space="0" w:color="auto"/>
      </w:divBdr>
    </w:div>
    <w:div w:id="529732531">
      <w:bodyDiv w:val="1"/>
      <w:marLeft w:val="0"/>
      <w:marRight w:val="0"/>
      <w:marTop w:val="0"/>
      <w:marBottom w:val="0"/>
      <w:divBdr>
        <w:top w:val="none" w:sz="0" w:space="0" w:color="auto"/>
        <w:left w:val="none" w:sz="0" w:space="0" w:color="auto"/>
        <w:bottom w:val="none" w:sz="0" w:space="0" w:color="auto"/>
        <w:right w:val="none" w:sz="0" w:space="0" w:color="auto"/>
      </w:divBdr>
    </w:div>
    <w:div w:id="529953416">
      <w:bodyDiv w:val="1"/>
      <w:marLeft w:val="0"/>
      <w:marRight w:val="0"/>
      <w:marTop w:val="0"/>
      <w:marBottom w:val="0"/>
      <w:divBdr>
        <w:top w:val="none" w:sz="0" w:space="0" w:color="auto"/>
        <w:left w:val="none" w:sz="0" w:space="0" w:color="auto"/>
        <w:bottom w:val="none" w:sz="0" w:space="0" w:color="auto"/>
        <w:right w:val="none" w:sz="0" w:space="0" w:color="auto"/>
      </w:divBdr>
    </w:div>
    <w:div w:id="531069226">
      <w:bodyDiv w:val="1"/>
      <w:marLeft w:val="0"/>
      <w:marRight w:val="0"/>
      <w:marTop w:val="0"/>
      <w:marBottom w:val="0"/>
      <w:divBdr>
        <w:top w:val="none" w:sz="0" w:space="0" w:color="auto"/>
        <w:left w:val="none" w:sz="0" w:space="0" w:color="auto"/>
        <w:bottom w:val="none" w:sz="0" w:space="0" w:color="auto"/>
        <w:right w:val="none" w:sz="0" w:space="0" w:color="auto"/>
      </w:divBdr>
    </w:div>
    <w:div w:id="536432695">
      <w:bodyDiv w:val="1"/>
      <w:marLeft w:val="0"/>
      <w:marRight w:val="0"/>
      <w:marTop w:val="0"/>
      <w:marBottom w:val="0"/>
      <w:divBdr>
        <w:top w:val="none" w:sz="0" w:space="0" w:color="auto"/>
        <w:left w:val="none" w:sz="0" w:space="0" w:color="auto"/>
        <w:bottom w:val="none" w:sz="0" w:space="0" w:color="auto"/>
        <w:right w:val="none" w:sz="0" w:space="0" w:color="auto"/>
      </w:divBdr>
    </w:div>
    <w:div w:id="536895378">
      <w:bodyDiv w:val="1"/>
      <w:marLeft w:val="0"/>
      <w:marRight w:val="0"/>
      <w:marTop w:val="0"/>
      <w:marBottom w:val="0"/>
      <w:divBdr>
        <w:top w:val="none" w:sz="0" w:space="0" w:color="auto"/>
        <w:left w:val="none" w:sz="0" w:space="0" w:color="auto"/>
        <w:bottom w:val="none" w:sz="0" w:space="0" w:color="auto"/>
        <w:right w:val="none" w:sz="0" w:space="0" w:color="auto"/>
      </w:divBdr>
    </w:div>
    <w:div w:id="537204515">
      <w:bodyDiv w:val="1"/>
      <w:marLeft w:val="0"/>
      <w:marRight w:val="0"/>
      <w:marTop w:val="0"/>
      <w:marBottom w:val="0"/>
      <w:divBdr>
        <w:top w:val="none" w:sz="0" w:space="0" w:color="auto"/>
        <w:left w:val="none" w:sz="0" w:space="0" w:color="auto"/>
        <w:bottom w:val="none" w:sz="0" w:space="0" w:color="auto"/>
        <w:right w:val="none" w:sz="0" w:space="0" w:color="auto"/>
      </w:divBdr>
    </w:div>
    <w:div w:id="539316288">
      <w:bodyDiv w:val="1"/>
      <w:marLeft w:val="0"/>
      <w:marRight w:val="0"/>
      <w:marTop w:val="0"/>
      <w:marBottom w:val="0"/>
      <w:divBdr>
        <w:top w:val="none" w:sz="0" w:space="0" w:color="auto"/>
        <w:left w:val="none" w:sz="0" w:space="0" w:color="auto"/>
        <w:bottom w:val="none" w:sz="0" w:space="0" w:color="auto"/>
        <w:right w:val="none" w:sz="0" w:space="0" w:color="auto"/>
      </w:divBdr>
    </w:div>
    <w:div w:id="543953363">
      <w:bodyDiv w:val="1"/>
      <w:marLeft w:val="0"/>
      <w:marRight w:val="0"/>
      <w:marTop w:val="0"/>
      <w:marBottom w:val="0"/>
      <w:divBdr>
        <w:top w:val="none" w:sz="0" w:space="0" w:color="auto"/>
        <w:left w:val="none" w:sz="0" w:space="0" w:color="auto"/>
        <w:bottom w:val="none" w:sz="0" w:space="0" w:color="auto"/>
        <w:right w:val="none" w:sz="0" w:space="0" w:color="auto"/>
      </w:divBdr>
    </w:div>
    <w:div w:id="544560515">
      <w:bodyDiv w:val="1"/>
      <w:marLeft w:val="0"/>
      <w:marRight w:val="0"/>
      <w:marTop w:val="0"/>
      <w:marBottom w:val="0"/>
      <w:divBdr>
        <w:top w:val="none" w:sz="0" w:space="0" w:color="auto"/>
        <w:left w:val="none" w:sz="0" w:space="0" w:color="auto"/>
        <w:bottom w:val="none" w:sz="0" w:space="0" w:color="auto"/>
        <w:right w:val="none" w:sz="0" w:space="0" w:color="auto"/>
      </w:divBdr>
    </w:div>
    <w:div w:id="548567225">
      <w:bodyDiv w:val="1"/>
      <w:marLeft w:val="0"/>
      <w:marRight w:val="0"/>
      <w:marTop w:val="0"/>
      <w:marBottom w:val="0"/>
      <w:divBdr>
        <w:top w:val="none" w:sz="0" w:space="0" w:color="auto"/>
        <w:left w:val="none" w:sz="0" w:space="0" w:color="auto"/>
        <w:bottom w:val="none" w:sz="0" w:space="0" w:color="auto"/>
        <w:right w:val="none" w:sz="0" w:space="0" w:color="auto"/>
      </w:divBdr>
    </w:div>
    <w:div w:id="548884530">
      <w:bodyDiv w:val="1"/>
      <w:marLeft w:val="0"/>
      <w:marRight w:val="0"/>
      <w:marTop w:val="0"/>
      <w:marBottom w:val="0"/>
      <w:divBdr>
        <w:top w:val="none" w:sz="0" w:space="0" w:color="auto"/>
        <w:left w:val="none" w:sz="0" w:space="0" w:color="auto"/>
        <w:bottom w:val="none" w:sz="0" w:space="0" w:color="auto"/>
        <w:right w:val="none" w:sz="0" w:space="0" w:color="auto"/>
      </w:divBdr>
    </w:div>
    <w:div w:id="550074122">
      <w:bodyDiv w:val="1"/>
      <w:marLeft w:val="0"/>
      <w:marRight w:val="0"/>
      <w:marTop w:val="0"/>
      <w:marBottom w:val="0"/>
      <w:divBdr>
        <w:top w:val="none" w:sz="0" w:space="0" w:color="auto"/>
        <w:left w:val="none" w:sz="0" w:space="0" w:color="auto"/>
        <w:bottom w:val="none" w:sz="0" w:space="0" w:color="auto"/>
        <w:right w:val="none" w:sz="0" w:space="0" w:color="auto"/>
      </w:divBdr>
    </w:div>
    <w:div w:id="556282070">
      <w:bodyDiv w:val="1"/>
      <w:marLeft w:val="0"/>
      <w:marRight w:val="0"/>
      <w:marTop w:val="0"/>
      <w:marBottom w:val="0"/>
      <w:divBdr>
        <w:top w:val="none" w:sz="0" w:space="0" w:color="auto"/>
        <w:left w:val="none" w:sz="0" w:space="0" w:color="auto"/>
        <w:bottom w:val="none" w:sz="0" w:space="0" w:color="auto"/>
        <w:right w:val="none" w:sz="0" w:space="0" w:color="auto"/>
      </w:divBdr>
    </w:div>
    <w:div w:id="556550573">
      <w:bodyDiv w:val="1"/>
      <w:marLeft w:val="0"/>
      <w:marRight w:val="0"/>
      <w:marTop w:val="0"/>
      <w:marBottom w:val="0"/>
      <w:divBdr>
        <w:top w:val="none" w:sz="0" w:space="0" w:color="auto"/>
        <w:left w:val="none" w:sz="0" w:space="0" w:color="auto"/>
        <w:bottom w:val="none" w:sz="0" w:space="0" w:color="auto"/>
        <w:right w:val="none" w:sz="0" w:space="0" w:color="auto"/>
      </w:divBdr>
    </w:div>
    <w:div w:id="557740358">
      <w:bodyDiv w:val="1"/>
      <w:marLeft w:val="0"/>
      <w:marRight w:val="0"/>
      <w:marTop w:val="0"/>
      <w:marBottom w:val="0"/>
      <w:divBdr>
        <w:top w:val="none" w:sz="0" w:space="0" w:color="auto"/>
        <w:left w:val="none" w:sz="0" w:space="0" w:color="auto"/>
        <w:bottom w:val="none" w:sz="0" w:space="0" w:color="auto"/>
        <w:right w:val="none" w:sz="0" w:space="0" w:color="auto"/>
      </w:divBdr>
    </w:div>
    <w:div w:id="560756317">
      <w:bodyDiv w:val="1"/>
      <w:marLeft w:val="0"/>
      <w:marRight w:val="0"/>
      <w:marTop w:val="0"/>
      <w:marBottom w:val="0"/>
      <w:divBdr>
        <w:top w:val="none" w:sz="0" w:space="0" w:color="auto"/>
        <w:left w:val="none" w:sz="0" w:space="0" w:color="auto"/>
        <w:bottom w:val="none" w:sz="0" w:space="0" w:color="auto"/>
        <w:right w:val="none" w:sz="0" w:space="0" w:color="auto"/>
      </w:divBdr>
    </w:div>
    <w:div w:id="564996879">
      <w:bodyDiv w:val="1"/>
      <w:marLeft w:val="0"/>
      <w:marRight w:val="0"/>
      <w:marTop w:val="0"/>
      <w:marBottom w:val="0"/>
      <w:divBdr>
        <w:top w:val="none" w:sz="0" w:space="0" w:color="auto"/>
        <w:left w:val="none" w:sz="0" w:space="0" w:color="auto"/>
        <w:bottom w:val="none" w:sz="0" w:space="0" w:color="auto"/>
        <w:right w:val="none" w:sz="0" w:space="0" w:color="auto"/>
      </w:divBdr>
    </w:div>
    <w:div w:id="566648911">
      <w:bodyDiv w:val="1"/>
      <w:marLeft w:val="0"/>
      <w:marRight w:val="0"/>
      <w:marTop w:val="0"/>
      <w:marBottom w:val="0"/>
      <w:divBdr>
        <w:top w:val="none" w:sz="0" w:space="0" w:color="auto"/>
        <w:left w:val="none" w:sz="0" w:space="0" w:color="auto"/>
        <w:bottom w:val="none" w:sz="0" w:space="0" w:color="auto"/>
        <w:right w:val="none" w:sz="0" w:space="0" w:color="auto"/>
      </w:divBdr>
    </w:div>
    <w:div w:id="566887502">
      <w:bodyDiv w:val="1"/>
      <w:marLeft w:val="0"/>
      <w:marRight w:val="0"/>
      <w:marTop w:val="0"/>
      <w:marBottom w:val="0"/>
      <w:divBdr>
        <w:top w:val="none" w:sz="0" w:space="0" w:color="auto"/>
        <w:left w:val="none" w:sz="0" w:space="0" w:color="auto"/>
        <w:bottom w:val="none" w:sz="0" w:space="0" w:color="auto"/>
        <w:right w:val="none" w:sz="0" w:space="0" w:color="auto"/>
      </w:divBdr>
    </w:div>
    <w:div w:id="578713393">
      <w:bodyDiv w:val="1"/>
      <w:marLeft w:val="0"/>
      <w:marRight w:val="0"/>
      <w:marTop w:val="0"/>
      <w:marBottom w:val="0"/>
      <w:divBdr>
        <w:top w:val="none" w:sz="0" w:space="0" w:color="auto"/>
        <w:left w:val="none" w:sz="0" w:space="0" w:color="auto"/>
        <w:bottom w:val="none" w:sz="0" w:space="0" w:color="auto"/>
        <w:right w:val="none" w:sz="0" w:space="0" w:color="auto"/>
      </w:divBdr>
    </w:div>
    <w:div w:id="580142209">
      <w:bodyDiv w:val="1"/>
      <w:marLeft w:val="0"/>
      <w:marRight w:val="0"/>
      <w:marTop w:val="0"/>
      <w:marBottom w:val="0"/>
      <w:divBdr>
        <w:top w:val="none" w:sz="0" w:space="0" w:color="auto"/>
        <w:left w:val="none" w:sz="0" w:space="0" w:color="auto"/>
        <w:bottom w:val="none" w:sz="0" w:space="0" w:color="auto"/>
        <w:right w:val="none" w:sz="0" w:space="0" w:color="auto"/>
      </w:divBdr>
    </w:div>
    <w:div w:id="582106251">
      <w:bodyDiv w:val="1"/>
      <w:marLeft w:val="0"/>
      <w:marRight w:val="0"/>
      <w:marTop w:val="0"/>
      <w:marBottom w:val="0"/>
      <w:divBdr>
        <w:top w:val="none" w:sz="0" w:space="0" w:color="auto"/>
        <w:left w:val="none" w:sz="0" w:space="0" w:color="auto"/>
        <w:bottom w:val="none" w:sz="0" w:space="0" w:color="auto"/>
        <w:right w:val="none" w:sz="0" w:space="0" w:color="auto"/>
      </w:divBdr>
    </w:div>
    <w:div w:id="584535940">
      <w:bodyDiv w:val="1"/>
      <w:marLeft w:val="0"/>
      <w:marRight w:val="0"/>
      <w:marTop w:val="0"/>
      <w:marBottom w:val="0"/>
      <w:divBdr>
        <w:top w:val="none" w:sz="0" w:space="0" w:color="auto"/>
        <w:left w:val="none" w:sz="0" w:space="0" w:color="auto"/>
        <w:bottom w:val="none" w:sz="0" w:space="0" w:color="auto"/>
        <w:right w:val="none" w:sz="0" w:space="0" w:color="auto"/>
      </w:divBdr>
    </w:div>
    <w:div w:id="589511323">
      <w:bodyDiv w:val="1"/>
      <w:marLeft w:val="0"/>
      <w:marRight w:val="0"/>
      <w:marTop w:val="0"/>
      <w:marBottom w:val="0"/>
      <w:divBdr>
        <w:top w:val="none" w:sz="0" w:space="0" w:color="auto"/>
        <w:left w:val="none" w:sz="0" w:space="0" w:color="auto"/>
        <w:bottom w:val="none" w:sz="0" w:space="0" w:color="auto"/>
        <w:right w:val="none" w:sz="0" w:space="0" w:color="auto"/>
      </w:divBdr>
    </w:div>
    <w:div w:id="589659361">
      <w:bodyDiv w:val="1"/>
      <w:marLeft w:val="0"/>
      <w:marRight w:val="0"/>
      <w:marTop w:val="0"/>
      <w:marBottom w:val="0"/>
      <w:divBdr>
        <w:top w:val="none" w:sz="0" w:space="0" w:color="auto"/>
        <w:left w:val="none" w:sz="0" w:space="0" w:color="auto"/>
        <w:bottom w:val="none" w:sz="0" w:space="0" w:color="auto"/>
        <w:right w:val="none" w:sz="0" w:space="0" w:color="auto"/>
      </w:divBdr>
    </w:div>
    <w:div w:id="590431601">
      <w:bodyDiv w:val="1"/>
      <w:marLeft w:val="0"/>
      <w:marRight w:val="0"/>
      <w:marTop w:val="0"/>
      <w:marBottom w:val="0"/>
      <w:divBdr>
        <w:top w:val="none" w:sz="0" w:space="0" w:color="auto"/>
        <w:left w:val="none" w:sz="0" w:space="0" w:color="auto"/>
        <w:bottom w:val="none" w:sz="0" w:space="0" w:color="auto"/>
        <w:right w:val="none" w:sz="0" w:space="0" w:color="auto"/>
      </w:divBdr>
    </w:div>
    <w:div w:id="591669621">
      <w:bodyDiv w:val="1"/>
      <w:marLeft w:val="0"/>
      <w:marRight w:val="0"/>
      <w:marTop w:val="0"/>
      <w:marBottom w:val="0"/>
      <w:divBdr>
        <w:top w:val="none" w:sz="0" w:space="0" w:color="auto"/>
        <w:left w:val="none" w:sz="0" w:space="0" w:color="auto"/>
        <w:bottom w:val="none" w:sz="0" w:space="0" w:color="auto"/>
        <w:right w:val="none" w:sz="0" w:space="0" w:color="auto"/>
      </w:divBdr>
    </w:div>
    <w:div w:id="592009662">
      <w:bodyDiv w:val="1"/>
      <w:marLeft w:val="0"/>
      <w:marRight w:val="0"/>
      <w:marTop w:val="0"/>
      <w:marBottom w:val="0"/>
      <w:divBdr>
        <w:top w:val="none" w:sz="0" w:space="0" w:color="auto"/>
        <w:left w:val="none" w:sz="0" w:space="0" w:color="auto"/>
        <w:bottom w:val="none" w:sz="0" w:space="0" w:color="auto"/>
        <w:right w:val="none" w:sz="0" w:space="0" w:color="auto"/>
      </w:divBdr>
    </w:div>
    <w:div w:id="593363119">
      <w:bodyDiv w:val="1"/>
      <w:marLeft w:val="0"/>
      <w:marRight w:val="0"/>
      <w:marTop w:val="0"/>
      <w:marBottom w:val="0"/>
      <w:divBdr>
        <w:top w:val="none" w:sz="0" w:space="0" w:color="auto"/>
        <w:left w:val="none" w:sz="0" w:space="0" w:color="auto"/>
        <w:bottom w:val="none" w:sz="0" w:space="0" w:color="auto"/>
        <w:right w:val="none" w:sz="0" w:space="0" w:color="auto"/>
      </w:divBdr>
    </w:div>
    <w:div w:id="594628564">
      <w:bodyDiv w:val="1"/>
      <w:marLeft w:val="0"/>
      <w:marRight w:val="0"/>
      <w:marTop w:val="0"/>
      <w:marBottom w:val="0"/>
      <w:divBdr>
        <w:top w:val="none" w:sz="0" w:space="0" w:color="auto"/>
        <w:left w:val="none" w:sz="0" w:space="0" w:color="auto"/>
        <w:bottom w:val="none" w:sz="0" w:space="0" w:color="auto"/>
        <w:right w:val="none" w:sz="0" w:space="0" w:color="auto"/>
      </w:divBdr>
    </w:div>
    <w:div w:id="597253541">
      <w:bodyDiv w:val="1"/>
      <w:marLeft w:val="0"/>
      <w:marRight w:val="0"/>
      <w:marTop w:val="0"/>
      <w:marBottom w:val="0"/>
      <w:divBdr>
        <w:top w:val="none" w:sz="0" w:space="0" w:color="auto"/>
        <w:left w:val="none" w:sz="0" w:space="0" w:color="auto"/>
        <w:bottom w:val="none" w:sz="0" w:space="0" w:color="auto"/>
        <w:right w:val="none" w:sz="0" w:space="0" w:color="auto"/>
      </w:divBdr>
    </w:div>
    <w:div w:id="598296020">
      <w:bodyDiv w:val="1"/>
      <w:marLeft w:val="0"/>
      <w:marRight w:val="0"/>
      <w:marTop w:val="0"/>
      <w:marBottom w:val="0"/>
      <w:divBdr>
        <w:top w:val="none" w:sz="0" w:space="0" w:color="auto"/>
        <w:left w:val="none" w:sz="0" w:space="0" w:color="auto"/>
        <w:bottom w:val="none" w:sz="0" w:space="0" w:color="auto"/>
        <w:right w:val="none" w:sz="0" w:space="0" w:color="auto"/>
      </w:divBdr>
    </w:div>
    <w:div w:id="600068895">
      <w:bodyDiv w:val="1"/>
      <w:marLeft w:val="0"/>
      <w:marRight w:val="0"/>
      <w:marTop w:val="0"/>
      <w:marBottom w:val="0"/>
      <w:divBdr>
        <w:top w:val="none" w:sz="0" w:space="0" w:color="auto"/>
        <w:left w:val="none" w:sz="0" w:space="0" w:color="auto"/>
        <w:bottom w:val="none" w:sz="0" w:space="0" w:color="auto"/>
        <w:right w:val="none" w:sz="0" w:space="0" w:color="auto"/>
      </w:divBdr>
    </w:div>
    <w:div w:id="602612892">
      <w:bodyDiv w:val="1"/>
      <w:marLeft w:val="0"/>
      <w:marRight w:val="0"/>
      <w:marTop w:val="0"/>
      <w:marBottom w:val="0"/>
      <w:divBdr>
        <w:top w:val="none" w:sz="0" w:space="0" w:color="auto"/>
        <w:left w:val="none" w:sz="0" w:space="0" w:color="auto"/>
        <w:bottom w:val="none" w:sz="0" w:space="0" w:color="auto"/>
        <w:right w:val="none" w:sz="0" w:space="0" w:color="auto"/>
      </w:divBdr>
    </w:div>
    <w:div w:id="602953892">
      <w:bodyDiv w:val="1"/>
      <w:marLeft w:val="0"/>
      <w:marRight w:val="0"/>
      <w:marTop w:val="0"/>
      <w:marBottom w:val="0"/>
      <w:divBdr>
        <w:top w:val="none" w:sz="0" w:space="0" w:color="auto"/>
        <w:left w:val="none" w:sz="0" w:space="0" w:color="auto"/>
        <w:bottom w:val="none" w:sz="0" w:space="0" w:color="auto"/>
        <w:right w:val="none" w:sz="0" w:space="0" w:color="auto"/>
      </w:divBdr>
    </w:div>
    <w:div w:id="604076475">
      <w:bodyDiv w:val="1"/>
      <w:marLeft w:val="0"/>
      <w:marRight w:val="0"/>
      <w:marTop w:val="0"/>
      <w:marBottom w:val="0"/>
      <w:divBdr>
        <w:top w:val="none" w:sz="0" w:space="0" w:color="auto"/>
        <w:left w:val="none" w:sz="0" w:space="0" w:color="auto"/>
        <w:bottom w:val="none" w:sz="0" w:space="0" w:color="auto"/>
        <w:right w:val="none" w:sz="0" w:space="0" w:color="auto"/>
      </w:divBdr>
    </w:div>
    <w:div w:id="608048178">
      <w:bodyDiv w:val="1"/>
      <w:marLeft w:val="0"/>
      <w:marRight w:val="0"/>
      <w:marTop w:val="0"/>
      <w:marBottom w:val="0"/>
      <w:divBdr>
        <w:top w:val="none" w:sz="0" w:space="0" w:color="auto"/>
        <w:left w:val="none" w:sz="0" w:space="0" w:color="auto"/>
        <w:bottom w:val="none" w:sz="0" w:space="0" w:color="auto"/>
        <w:right w:val="none" w:sz="0" w:space="0" w:color="auto"/>
      </w:divBdr>
    </w:div>
    <w:div w:id="609825760">
      <w:bodyDiv w:val="1"/>
      <w:marLeft w:val="0"/>
      <w:marRight w:val="0"/>
      <w:marTop w:val="0"/>
      <w:marBottom w:val="0"/>
      <w:divBdr>
        <w:top w:val="none" w:sz="0" w:space="0" w:color="auto"/>
        <w:left w:val="none" w:sz="0" w:space="0" w:color="auto"/>
        <w:bottom w:val="none" w:sz="0" w:space="0" w:color="auto"/>
        <w:right w:val="none" w:sz="0" w:space="0" w:color="auto"/>
      </w:divBdr>
    </w:div>
    <w:div w:id="613682242">
      <w:bodyDiv w:val="1"/>
      <w:marLeft w:val="0"/>
      <w:marRight w:val="0"/>
      <w:marTop w:val="0"/>
      <w:marBottom w:val="0"/>
      <w:divBdr>
        <w:top w:val="none" w:sz="0" w:space="0" w:color="auto"/>
        <w:left w:val="none" w:sz="0" w:space="0" w:color="auto"/>
        <w:bottom w:val="none" w:sz="0" w:space="0" w:color="auto"/>
        <w:right w:val="none" w:sz="0" w:space="0" w:color="auto"/>
      </w:divBdr>
    </w:div>
    <w:div w:id="614289069">
      <w:bodyDiv w:val="1"/>
      <w:marLeft w:val="0"/>
      <w:marRight w:val="0"/>
      <w:marTop w:val="0"/>
      <w:marBottom w:val="0"/>
      <w:divBdr>
        <w:top w:val="none" w:sz="0" w:space="0" w:color="auto"/>
        <w:left w:val="none" w:sz="0" w:space="0" w:color="auto"/>
        <w:bottom w:val="none" w:sz="0" w:space="0" w:color="auto"/>
        <w:right w:val="none" w:sz="0" w:space="0" w:color="auto"/>
      </w:divBdr>
    </w:div>
    <w:div w:id="614672946">
      <w:bodyDiv w:val="1"/>
      <w:marLeft w:val="0"/>
      <w:marRight w:val="0"/>
      <w:marTop w:val="0"/>
      <w:marBottom w:val="0"/>
      <w:divBdr>
        <w:top w:val="none" w:sz="0" w:space="0" w:color="auto"/>
        <w:left w:val="none" w:sz="0" w:space="0" w:color="auto"/>
        <w:bottom w:val="none" w:sz="0" w:space="0" w:color="auto"/>
        <w:right w:val="none" w:sz="0" w:space="0" w:color="auto"/>
      </w:divBdr>
    </w:div>
    <w:div w:id="615674945">
      <w:bodyDiv w:val="1"/>
      <w:marLeft w:val="0"/>
      <w:marRight w:val="0"/>
      <w:marTop w:val="0"/>
      <w:marBottom w:val="0"/>
      <w:divBdr>
        <w:top w:val="none" w:sz="0" w:space="0" w:color="auto"/>
        <w:left w:val="none" w:sz="0" w:space="0" w:color="auto"/>
        <w:bottom w:val="none" w:sz="0" w:space="0" w:color="auto"/>
        <w:right w:val="none" w:sz="0" w:space="0" w:color="auto"/>
      </w:divBdr>
    </w:div>
    <w:div w:id="619070984">
      <w:bodyDiv w:val="1"/>
      <w:marLeft w:val="0"/>
      <w:marRight w:val="0"/>
      <w:marTop w:val="0"/>
      <w:marBottom w:val="0"/>
      <w:divBdr>
        <w:top w:val="none" w:sz="0" w:space="0" w:color="auto"/>
        <w:left w:val="none" w:sz="0" w:space="0" w:color="auto"/>
        <w:bottom w:val="none" w:sz="0" w:space="0" w:color="auto"/>
        <w:right w:val="none" w:sz="0" w:space="0" w:color="auto"/>
      </w:divBdr>
    </w:div>
    <w:div w:id="621153415">
      <w:bodyDiv w:val="1"/>
      <w:marLeft w:val="0"/>
      <w:marRight w:val="0"/>
      <w:marTop w:val="0"/>
      <w:marBottom w:val="0"/>
      <w:divBdr>
        <w:top w:val="none" w:sz="0" w:space="0" w:color="auto"/>
        <w:left w:val="none" w:sz="0" w:space="0" w:color="auto"/>
        <w:bottom w:val="none" w:sz="0" w:space="0" w:color="auto"/>
        <w:right w:val="none" w:sz="0" w:space="0" w:color="auto"/>
      </w:divBdr>
    </w:div>
    <w:div w:id="622922177">
      <w:bodyDiv w:val="1"/>
      <w:marLeft w:val="0"/>
      <w:marRight w:val="0"/>
      <w:marTop w:val="0"/>
      <w:marBottom w:val="0"/>
      <w:divBdr>
        <w:top w:val="none" w:sz="0" w:space="0" w:color="auto"/>
        <w:left w:val="none" w:sz="0" w:space="0" w:color="auto"/>
        <w:bottom w:val="none" w:sz="0" w:space="0" w:color="auto"/>
        <w:right w:val="none" w:sz="0" w:space="0" w:color="auto"/>
      </w:divBdr>
    </w:div>
    <w:div w:id="623662166">
      <w:bodyDiv w:val="1"/>
      <w:marLeft w:val="0"/>
      <w:marRight w:val="0"/>
      <w:marTop w:val="0"/>
      <w:marBottom w:val="0"/>
      <w:divBdr>
        <w:top w:val="none" w:sz="0" w:space="0" w:color="auto"/>
        <w:left w:val="none" w:sz="0" w:space="0" w:color="auto"/>
        <w:bottom w:val="none" w:sz="0" w:space="0" w:color="auto"/>
        <w:right w:val="none" w:sz="0" w:space="0" w:color="auto"/>
      </w:divBdr>
    </w:div>
    <w:div w:id="624576857">
      <w:bodyDiv w:val="1"/>
      <w:marLeft w:val="0"/>
      <w:marRight w:val="0"/>
      <w:marTop w:val="0"/>
      <w:marBottom w:val="0"/>
      <w:divBdr>
        <w:top w:val="none" w:sz="0" w:space="0" w:color="auto"/>
        <w:left w:val="none" w:sz="0" w:space="0" w:color="auto"/>
        <w:bottom w:val="none" w:sz="0" w:space="0" w:color="auto"/>
        <w:right w:val="none" w:sz="0" w:space="0" w:color="auto"/>
      </w:divBdr>
    </w:div>
    <w:div w:id="626200249">
      <w:bodyDiv w:val="1"/>
      <w:marLeft w:val="0"/>
      <w:marRight w:val="0"/>
      <w:marTop w:val="0"/>
      <w:marBottom w:val="0"/>
      <w:divBdr>
        <w:top w:val="none" w:sz="0" w:space="0" w:color="auto"/>
        <w:left w:val="none" w:sz="0" w:space="0" w:color="auto"/>
        <w:bottom w:val="none" w:sz="0" w:space="0" w:color="auto"/>
        <w:right w:val="none" w:sz="0" w:space="0" w:color="auto"/>
      </w:divBdr>
    </w:div>
    <w:div w:id="626817568">
      <w:bodyDiv w:val="1"/>
      <w:marLeft w:val="0"/>
      <w:marRight w:val="0"/>
      <w:marTop w:val="0"/>
      <w:marBottom w:val="0"/>
      <w:divBdr>
        <w:top w:val="none" w:sz="0" w:space="0" w:color="auto"/>
        <w:left w:val="none" w:sz="0" w:space="0" w:color="auto"/>
        <w:bottom w:val="none" w:sz="0" w:space="0" w:color="auto"/>
        <w:right w:val="none" w:sz="0" w:space="0" w:color="auto"/>
      </w:divBdr>
    </w:div>
    <w:div w:id="627928569">
      <w:bodyDiv w:val="1"/>
      <w:marLeft w:val="0"/>
      <w:marRight w:val="0"/>
      <w:marTop w:val="0"/>
      <w:marBottom w:val="0"/>
      <w:divBdr>
        <w:top w:val="none" w:sz="0" w:space="0" w:color="auto"/>
        <w:left w:val="none" w:sz="0" w:space="0" w:color="auto"/>
        <w:bottom w:val="none" w:sz="0" w:space="0" w:color="auto"/>
        <w:right w:val="none" w:sz="0" w:space="0" w:color="auto"/>
      </w:divBdr>
    </w:div>
    <w:div w:id="630404942">
      <w:bodyDiv w:val="1"/>
      <w:marLeft w:val="0"/>
      <w:marRight w:val="0"/>
      <w:marTop w:val="0"/>
      <w:marBottom w:val="0"/>
      <w:divBdr>
        <w:top w:val="none" w:sz="0" w:space="0" w:color="auto"/>
        <w:left w:val="none" w:sz="0" w:space="0" w:color="auto"/>
        <w:bottom w:val="none" w:sz="0" w:space="0" w:color="auto"/>
        <w:right w:val="none" w:sz="0" w:space="0" w:color="auto"/>
      </w:divBdr>
    </w:div>
    <w:div w:id="630864560">
      <w:bodyDiv w:val="1"/>
      <w:marLeft w:val="0"/>
      <w:marRight w:val="0"/>
      <w:marTop w:val="0"/>
      <w:marBottom w:val="0"/>
      <w:divBdr>
        <w:top w:val="none" w:sz="0" w:space="0" w:color="auto"/>
        <w:left w:val="none" w:sz="0" w:space="0" w:color="auto"/>
        <w:bottom w:val="none" w:sz="0" w:space="0" w:color="auto"/>
        <w:right w:val="none" w:sz="0" w:space="0" w:color="auto"/>
      </w:divBdr>
    </w:div>
    <w:div w:id="631056832">
      <w:bodyDiv w:val="1"/>
      <w:marLeft w:val="0"/>
      <w:marRight w:val="0"/>
      <w:marTop w:val="0"/>
      <w:marBottom w:val="0"/>
      <w:divBdr>
        <w:top w:val="none" w:sz="0" w:space="0" w:color="auto"/>
        <w:left w:val="none" w:sz="0" w:space="0" w:color="auto"/>
        <w:bottom w:val="none" w:sz="0" w:space="0" w:color="auto"/>
        <w:right w:val="none" w:sz="0" w:space="0" w:color="auto"/>
      </w:divBdr>
    </w:div>
    <w:div w:id="632833860">
      <w:bodyDiv w:val="1"/>
      <w:marLeft w:val="0"/>
      <w:marRight w:val="0"/>
      <w:marTop w:val="0"/>
      <w:marBottom w:val="0"/>
      <w:divBdr>
        <w:top w:val="none" w:sz="0" w:space="0" w:color="auto"/>
        <w:left w:val="none" w:sz="0" w:space="0" w:color="auto"/>
        <w:bottom w:val="none" w:sz="0" w:space="0" w:color="auto"/>
        <w:right w:val="none" w:sz="0" w:space="0" w:color="auto"/>
      </w:divBdr>
    </w:div>
    <w:div w:id="634289518">
      <w:bodyDiv w:val="1"/>
      <w:marLeft w:val="0"/>
      <w:marRight w:val="0"/>
      <w:marTop w:val="0"/>
      <w:marBottom w:val="0"/>
      <w:divBdr>
        <w:top w:val="none" w:sz="0" w:space="0" w:color="auto"/>
        <w:left w:val="none" w:sz="0" w:space="0" w:color="auto"/>
        <w:bottom w:val="none" w:sz="0" w:space="0" w:color="auto"/>
        <w:right w:val="none" w:sz="0" w:space="0" w:color="auto"/>
      </w:divBdr>
    </w:div>
    <w:div w:id="639044515">
      <w:bodyDiv w:val="1"/>
      <w:marLeft w:val="0"/>
      <w:marRight w:val="0"/>
      <w:marTop w:val="0"/>
      <w:marBottom w:val="0"/>
      <w:divBdr>
        <w:top w:val="none" w:sz="0" w:space="0" w:color="auto"/>
        <w:left w:val="none" w:sz="0" w:space="0" w:color="auto"/>
        <w:bottom w:val="none" w:sz="0" w:space="0" w:color="auto"/>
        <w:right w:val="none" w:sz="0" w:space="0" w:color="auto"/>
      </w:divBdr>
    </w:div>
    <w:div w:id="642004009">
      <w:bodyDiv w:val="1"/>
      <w:marLeft w:val="0"/>
      <w:marRight w:val="0"/>
      <w:marTop w:val="0"/>
      <w:marBottom w:val="0"/>
      <w:divBdr>
        <w:top w:val="none" w:sz="0" w:space="0" w:color="auto"/>
        <w:left w:val="none" w:sz="0" w:space="0" w:color="auto"/>
        <w:bottom w:val="none" w:sz="0" w:space="0" w:color="auto"/>
        <w:right w:val="none" w:sz="0" w:space="0" w:color="auto"/>
      </w:divBdr>
    </w:div>
    <w:div w:id="647632868">
      <w:bodyDiv w:val="1"/>
      <w:marLeft w:val="0"/>
      <w:marRight w:val="0"/>
      <w:marTop w:val="0"/>
      <w:marBottom w:val="0"/>
      <w:divBdr>
        <w:top w:val="none" w:sz="0" w:space="0" w:color="auto"/>
        <w:left w:val="none" w:sz="0" w:space="0" w:color="auto"/>
        <w:bottom w:val="none" w:sz="0" w:space="0" w:color="auto"/>
        <w:right w:val="none" w:sz="0" w:space="0" w:color="auto"/>
      </w:divBdr>
    </w:div>
    <w:div w:id="649360827">
      <w:bodyDiv w:val="1"/>
      <w:marLeft w:val="0"/>
      <w:marRight w:val="0"/>
      <w:marTop w:val="0"/>
      <w:marBottom w:val="0"/>
      <w:divBdr>
        <w:top w:val="none" w:sz="0" w:space="0" w:color="auto"/>
        <w:left w:val="none" w:sz="0" w:space="0" w:color="auto"/>
        <w:bottom w:val="none" w:sz="0" w:space="0" w:color="auto"/>
        <w:right w:val="none" w:sz="0" w:space="0" w:color="auto"/>
      </w:divBdr>
    </w:div>
    <w:div w:id="656344747">
      <w:bodyDiv w:val="1"/>
      <w:marLeft w:val="0"/>
      <w:marRight w:val="0"/>
      <w:marTop w:val="0"/>
      <w:marBottom w:val="0"/>
      <w:divBdr>
        <w:top w:val="none" w:sz="0" w:space="0" w:color="auto"/>
        <w:left w:val="none" w:sz="0" w:space="0" w:color="auto"/>
        <w:bottom w:val="none" w:sz="0" w:space="0" w:color="auto"/>
        <w:right w:val="none" w:sz="0" w:space="0" w:color="auto"/>
      </w:divBdr>
    </w:div>
    <w:div w:id="661549956">
      <w:bodyDiv w:val="1"/>
      <w:marLeft w:val="0"/>
      <w:marRight w:val="0"/>
      <w:marTop w:val="0"/>
      <w:marBottom w:val="0"/>
      <w:divBdr>
        <w:top w:val="none" w:sz="0" w:space="0" w:color="auto"/>
        <w:left w:val="none" w:sz="0" w:space="0" w:color="auto"/>
        <w:bottom w:val="none" w:sz="0" w:space="0" w:color="auto"/>
        <w:right w:val="none" w:sz="0" w:space="0" w:color="auto"/>
      </w:divBdr>
    </w:div>
    <w:div w:id="661590266">
      <w:bodyDiv w:val="1"/>
      <w:marLeft w:val="0"/>
      <w:marRight w:val="0"/>
      <w:marTop w:val="0"/>
      <w:marBottom w:val="0"/>
      <w:divBdr>
        <w:top w:val="none" w:sz="0" w:space="0" w:color="auto"/>
        <w:left w:val="none" w:sz="0" w:space="0" w:color="auto"/>
        <w:bottom w:val="none" w:sz="0" w:space="0" w:color="auto"/>
        <w:right w:val="none" w:sz="0" w:space="0" w:color="auto"/>
      </w:divBdr>
    </w:div>
    <w:div w:id="662666390">
      <w:bodyDiv w:val="1"/>
      <w:marLeft w:val="0"/>
      <w:marRight w:val="0"/>
      <w:marTop w:val="0"/>
      <w:marBottom w:val="0"/>
      <w:divBdr>
        <w:top w:val="none" w:sz="0" w:space="0" w:color="auto"/>
        <w:left w:val="none" w:sz="0" w:space="0" w:color="auto"/>
        <w:bottom w:val="none" w:sz="0" w:space="0" w:color="auto"/>
        <w:right w:val="none" w:sz="0" w:space="0" w:color="auto"/>
      </w:divBdr>
    </w:div>
    <w:div w:id="666640171">
      <w:bodyDiv w:val="1"/>
      <w:marLeft w:val="0"/>
      <w:marRight w:val="0"/>
      <w:marTop w:val="0"/>
      <w:marBottom w:val="0"/>
      <w:divBdr>
        <w:top w:val="none" w:sz="0" w:space="0" w:color="auto"/>
        <w:left w:val="none" w:sz="0" w:space="0" w:color="auto"/>
        <w:bottom w:val="none" w:sz="0" w:space="0" w:color="auto"/>
        <w:right w:val="none" w:sz="0" w:space="0" w:color="auto"/>
      </w:divBdr>
    </w:div>
    <w:div w:id="667370449">
      <w:bodyDiv w:val="1"/>
      <w:marLeft w:val="0"/>
      <w:marRight w:val="0"/>
      <w:marTop w:val="0"/>
      <w:marBottom w:val="0"/>
      <w:divBdr>
        <w:top w:val="none" w:sz="0" w:space="0" w:color="auto"/>
        <w:left w:val="none" w:sz="0" w:space="0" w:color="auto"/>
        <w:bottom w:val="none" w:sz="0" w:space="0" w:color="auto"/>
        <w:right w:val="none" w:sz="0" w:space="0" w:color="auto"/>
      </w:divBdr>
    </w:div>
    <w:div w:id="669286101">
      <w:bodyDiv w:val="1"/>
      <w:marLeft w:val="0"/>
      <w:marRight w:val="0"/>
      <w:marTop w:val="0"/>
      <w:marBottom w:val="0"/>
      <w:divBdr>
        <w:top w:val="none" w:sz="0" w:space="0" w:color="auto"/>
        <w:left w:val="none" w:sz="0" w:space="0" w:color="auto"/>
        <w:bottom w:val="none" w:sz="0" w:space="0" w:color="auto"/>
        <w:right w:val="none" w:sz="0" w:space="0" w:color="auto"/>
      </w:divBdr>
    </w:div>
    <w:div w:id="671101668">
      <w:bodyDiv w:val="1"/>
      <w:marLeft w:val="0"/>
      <w:marRight w:val="0"/>
      <w:marTop w:val="0"/>
      <w:marBottom w:val="0"/>
      <w:divBdr>
        <w:top w:val="none" w:sz="0" w:space="0" w:color="auto"/>
        <w:left w:val="none" w:sz="0" w:space="0" w:color="auto"/>
        <w:bottom w:val="none" w:sz="0" w:space="0" w:color="auto"/>
        <w:right w:val="none" w:sz="0" w:space="0" w:color="auto"/>
      </w:divBdr>
    </w:div>
    <w:div w:id="671571472">
      <w:bodyDiv w:val="1"/>
      <w:marLeft w:val="0"/>
      <w:marRight w:val="0"/>
      <w:marTop w:val="0"/>
      <w:marBottom w:val="0"/>
      <w:divBdr>
        <w:top w:val="none" w:sz="0" w:space="0" w:color="auto"/>
        <w:left w:val="none" w:sz="0" w:space="0" w:color="auto"/>
        <w:bottom w:val="none" w:sz="0" w:space="0" w:color="auto"/>
        <w:right w:val="none" w:sz="0" w:space="0" w:color="auto"/>
      </w:divBdr>
    </w:div>
    <w:div w:id="672993951">
      <w:bodyDiv w:val="1"/>
      <w:marLeft w:val="0"/>
      <w:marRight w:val="0"/>
      <w:marTop w:val="0"/>
      <w:marBottom w:val="0"/>
      <w:divBdr>
        <w:top w:val="none" w:sz="0" w:space="0" w:color="auto"/>
        <w:left w:val="none" w:sz="0" w:space="0" w:color="auto"/>
        <w:bottom w:val="none" w:sz="0" w:space="0" w:color="auto"/>
        <w:right w:val="none" w:sz="0" w:space="0" w:color="auto"/>
      </w:divBdr>
    </w:div>
    <w:div w:id="673269507">
      <w:bodyDiv w:val="1"/>
      <w:marLeft w:val="0"/>
      <w:marRight w:val="0"/>
      <w:marTop w:val="0"/>
      <w:marBottom w:val="0"/>
      <w:divBdr>
        <w:top w:val="none" w:sz="0" w:space="0" w:color="auto"/>
        <w:left w:val="none" w:sz="0" w:space="0" w:color="auto"/>
        <w:bottom w:val="none" w:sz="0" w:space="0" w:color="auto"/>
        <w:right w:val="none" w:sz="0" w:space="0" w:color="auto"/>
      </w:divBdr>
    </w:div>
    <w:div w:id="673916422">
      <w:bodyDiv w:val="1"/>
      <w:marLeft w:val="0"/>
      <w:marRight w:val="0"/>
      <w:marTop w:val="0"/>
      <w:marBottom w:val="0"/>
      <w:divBdr>
        <w:top w:val="none" w:sz="0" w:space="0" w:color="auto"/>
        <w:left w:val="none" w:sz="0" w:space="0" w:color="auto"/>
        <w:bottom w:val="none" w:sz="0" w:space="0" w:color="auto"/>
        <w:right w:val="none" w:sz="0" w:space="0" w:color="auto"/>
      </w:divBdr>
    </w:div>
    <w:div w:id="674304519">
      <w:bodyDiv w:val="1"/>
      <w:marLeft w:val="0"/>
      <w:marRight w:val="0"/>
      <w:marTop w:val="0"/>
      <w:marBottom w:val="0"/>
      <w:divBdr>
        <w:top w:val="none" w:sz="0" w:space="0" w:color="auto"/>
        <w:left w:val="none" w:sz="0" w:space="0" w:color="auto"/>
        <w:bottom w:val="none" w:sz="0" w:space="0" w:color="auto"/>
        <w:right w:val="none" w:sz="0" w:space="0" w:color="auto"/>
      </w:divBdr>
    </w:div>
    <w:div w:id="674724535">
      <w:bodyDiv w:val="1"/>
      <w:marLeft w:val="0"/>
      <w:marRight w:val="0"/>
      <w:marTop w:val="0"/>
      <w:marBottom w:val="0"/>
      <w:divBdr>
        <w:top w:val="none" w:sz="0" w:space="0" w:color="auto"/>
        <w:left w:val="none" w:sz="0" w:space="0" w:color="auto"/>
        <w:bottom w:val="none" w:sz="0" w:space="0" w:color="auto"/>
        <w:right w:val="none" w:sz="0" w:space="0" w:color="auto"/>
      </w:divBdr>
    </w:div>
    <w:div w:id="675351349">
      <w:bodyDiv w:val="1"/>
      <w:marLeft w:val="0"/>
      <w:marRight w:val="0"/>
      <w:marTop w:val="0"/>
      <w:marBottom w:val="0"/>
      <w:divBdr>
        <w:top w:val="none" w:sz="0" w:space="0" w:color="auto"/>
        <w:left w:val="none" w:sz="0" w:space="0" w:color="auto"/>
        <w:bottom w:val="none" w:sz="0" w:space="0" w:color="auto"/>
        <w:right w:val="none" w:sz="0" w:space="0" w:color="auto"/>
      </w:divBdr>
    </w:div>
    <w:div w:id="675888301">
      <w:bodyDiv w:val="1"/>
      <w:marLeft w:val="0"/>
      <w:marRight w:val="0"/>
      <w:marTop w:val="0"/>
      <w:marBottom w:val="0"/>
      <w:divBdr>
        <w:top w:val="none" w:sz="0" w:space="0" w:color="auto"/>
        <w:left w:val="none" w:sz="0" w:space="0" w:color="auto"/>
        <w:bottom w:val="none" w:sz="0" w:space="0" w:color="auto"/>
        <w:right w:val="none" w:sz="0" w:space="0" w:color="auto"/>
      </w:divBdr>
    </w:div>
    <w:div w:id="678386675">
      <w:bodyDiv w:val="1"/>
      <w:marLeft w:val="0"/>
      <w:marRight w:val="0"/>
      <w:marTop w:val="0"/>
      <w:marBottom w:val="0"/>
      <w:divBdr>
        <w:top w:val="none" w:sz="0" w:space="0" w:color="auto"/>
        <w:left w:val="none" w:sz="0" w:space="0" w:color="auto"/>
        <w:bottom w:val="none" w:sz="0" w:space="0" w:color="auto"/>
        <w:right w:val="none" w:sz="0" w:space="0" w:color="auto"/>
      </w:divBdr>
    </w:div>
    <w:div w:id="678888665">
      <w:bodyDiv w:val="1"/>
      <w:marLeft w:val="0"/>
      <w:marRight w:val="0"/>
      <w:marTop w:val="0"/>
      <w:marBottom w:val="0"/>
      <w:divBdr>
        <w:top w:val="none" w:sz="0" w:space="0" w:color="auto"/>
        <w:left w:val="none" w:sz="0" w:space="0" w:color="auto"/>
        <w:bottom w:val="none" w:sz="0" w:space="0" w:color="auto"/>
        <w:right w:val="none" w:sz="0" w:space="0" w:color="auto"/>
      </w:divBdr>
    </w:div>
    <w:div w:id="684327448">
      <w:bodyDiv w:val="1"/>
      <w:marLeft w:val="0"/>
      <w:marRight w:val="0"/>
      <w:marTop w:val="0"/>
      <w:marBottom w:val="0"/>
      <w:divBdr>
        <w:top w:val="none" w:sz="0" w:space="0" w:color="auto"/>
        <w:left w:val="none" w:sz="0" w:space="0" w:color="auto"/>
        <w:bottom w:val="none" w:sz="0" w:space="0" w:color="auto"/>
        <w:right w:val="none" w:sz="0" w:space="0" w:color="auto"/>
      </w:divBdr>
    </w:div>
    <w:div w:id="686709301">
      <w:bodyDiv w:val="1"/>
      <w:marLeft w:val="0"/>
      <w:marRight w:val="0"/>
      <w:marTop w:val="0"/>
      <w:marBottom w:val="0"/>
      <w:divBdr>
        <w:top w:val="none" w:sz="0" w:space="0" w:color="auto"/>
        <w:left w:val="none" w:sz="0" w:space="0" w:color="auto"/>
        <w:bottom w:val="none" w:sz="0" w:space="0" w:color="auto"/>
        <w:right w:val="none" w:sz="0" w:space="0" w:color="auto"/>
      </w:divBdr>
    </w:div>
    <w:div w:id="686714910">
      <w:bodyDiv w:val="1"/>
      <w:marLeft w:val="0"/>
      <w:marRight w:val="0"/>
      <w:marTop w:val="0"/>
      <w:marBottom w:val="0"/>
      <w:divBdr>
        <w:top w:val="none" w:sz="0" w:space="0" w:color="auto"/>
        <w:left w:val="none" w:sz="0" w:space="0" w:color="auto"/>
        <w:bottom w:val="none" w:sz="0" w:space="0" w:color="auto"/>
        <w:right w:val="none" w:sz="0" w:space="0" w:color="auto"/>
      </w:divBdr>
    </w:div>
    <w:div w:id="688528022">
      <w:bodyDiv w:val="1"/>
      <w:marLeft w:val="0"/>
      <w:marRight w:val="0"/>
      <w:marTop w:val="0"/>
      <w:marBottom w:val="0"/>
      <w:divBdr>
        <w:top w:val="none" w:sz="0" w:space="0" w:color="auto"/>
        <w:left w:val="none" w:sz="0" w:space="0" w:color="auto"/>
        <w:bottom w:val="none" w:sz="0" w:space="0" w:color="auto"/>
        <w:right w:val="none" w:sz="0" w:space="0" w:color="auto"/>
      </w:divBdr>
    </w:div>
    <w:div w:id="693386090">
      <w:bodyDiv w:val="1"/>
      <w:marLeft w:val="0"/>
      <w:marRight w:val="0"/>
      <w:marTop w:val="0"/>
      <w:marBottom w:val="0"/>
      <w:divBdr>
        <w:top w:val="none" w:sz="0" w:space="0" w:color="auto"/>
        <w:left w:val="none" w:sz="0" w:space="0" w:color="auto"/>
        <w:bottom w:val="none" w:sz="0" w:space="0" w:color="auto"/>
        <w:right w:val="none" w:sz="0" w:space="0" w:color="auto"/>
      </w:divBdr>
    </w:div>
    <w:div w:id="694162113">
      <w:bodyDiv w:val="1"/>
      <w:marLeft w:val="0"/>
      <w:marRight w:val="0"/>
      <w:marTop w:val="0"/>
      <w:marBottom w:val="0"/>
      <w:divBdr>
        <w:top w:val="none" w:sz="0" w:space="0" w:color="auto"/>
        <w:left w:val="none" w:sz="0" w:space="0" w:color="auto"/>
        <w:bottom w:val="none" w:sz="0" w:space="0" w:color="auto"/>
        <w:right w:val="none" w:sz="0" w:space="0" w:color="auto"/>
      </w:divBdr>
    </w:div>
    <w:div w:id="701590035">
      <w:bodyDiv w:val="1"/>
      <w:marLeft w:val="0"/>
      <w:marRight w:val="0"/>
      <w:marTop w:val="0"/>
      <w:marBottom w:val="0"/>
      <w:divBdr>
        <w:top w:val="none" w:sz="0" w:space="0" w:color="auto"/>
        <w:left w:val="none" w:sz="0" w:space="0" w:color="auto"/>
        <w:bottom w:val="none" w:sz="0" w:space="0" w:color="auto"/>
        <w:right w:val="none" w:sz="0" w:space="0" w:color="auto"/>
      </w:divBdr>
    </w:div>
    <w:div w:id="702366867">
      <w:bodyDiv w:val="1"/>
      <w:marLeft w:val="0"/>
      <w:marRight w:val="0"/>
      <w:marTop w:val="0"/>
      <w:marBottom w:val="0"/>
      <w:divBdr>
        <w:top w:val="none" w:sz="0" w:space="0" w:color="auto"/>
        <w:left w:val="none" w:sz="0" w:space="0" w:color="auto"/>
        <w:bottom w:val="none" w:sz="0" w:space="0" w:color="auto"/>
        <w:right w:val="none" w:sz="0" w:space="0" w:color="auto"/>
      </w:divBdr>
    </w:div>
    <w:div w:id="704258563">
      <w:bodyDiv w:val="1"/>
      <w:marLeft w:val="0"/>
      <w:marRight w:val="0"/>
      <w:marTop w:val="0"/>
      <w:marBottom w:val="0"/>
      <w:divBdr>
        <w:top w:val="none" w:sz="0" w:space="0" w:color="auto"/>
        <w:left w:val="none" w:sz="0" w:space="0" w:color="auto"/>
        <w:bottom w:val="none" w:sz="0" w:space="0" w:color="auto"/>
        <w:right w:val="none" w:sz="0" w:space="0" w:color="auto"/>
      </w:divBdr>
    </w:div>
    <w:div w:id="705061878">
      <w:bodyDiv w:val="1"/>
      <w:marLeft w:val="0"/>
      <w:marRight w:val="0"/>
      <w:marTop w:val="0"/>
      <w:marBottom w:val="0"/>
      <w:divBdr>
        <w:top w:val="none" w:sz="0" w:space="0" w:color="auto"/>
        <w:left w:val="none" w:sz="0" w:space="0" w:color="auto"/>
        <w:bottom w:val="none" w:sz="0" w:space="0" w:color="auto"/>
        <w:right w:val="none" w:sz="0" w:space="0" w:color="auto"/>
      </w:divBdr>
    </w:div>
    <w:div w:id="705562865">
      <w:bodyDiv w:val="1"/>
      <w:marLeft w:val="0"/>
      <w:marRight w:val="0"/>
      <w:marTop w:val="0"/>
      <w:marBottom w:val="0"/>
      <w:divBdr>
        <w:top w:val="none" w:sz="0" w:space="0" w:color="auto"/>
        <w:left w:val="none" w:sz="0" w:space="0" w:color="auto"/>
        <w:bottom w:val="none" w:sz="0" w:space="0" w:color="auto"/>
        <w:right w:val="none" w:sz="0" w:space="0" w:color="auto"/>
      </w:divBdr>
    </w:div>
    <w:div w:id="705834120">
      <w:bodyDiv w:val="1"/>
      <w:marLeft w:val="0"/>
      <w:marRight w:val="0"/>
      <w:marTop w:val="0"/>
      <w:marBottom w:val="0"/>
      <w:divBdr>
        <w:top w:val="none" w:sz="0" w:space="0" w:color="auto"/>
        <w:left w:val="none" w:sz="0" w:space="0" w:color="auto"/>
        <w:bottom w:val="none" w:sz="0" w:space="0" w:color="auto"/>
        <w:right w:val="none" w:sz="0" w:space="0" w:color="auto"/>
      </w:divBdr>
    </w:div>
    <w:div w:id="706681186">
      <w:bodyDiv w:val="1"/>
      <w:marLeft w:val="0"/>
      <w:marRight w:val="0"/>
      <w:marTop w:val="0"/>
      <w:marBottom w:val="0"/>
      <w:divBdr>
        <w:top w:val="none" w:sz="0" w:space="0" w:color="auto"/>
        <w:left w:val="none" w:sz="0" w:space="0" w:color="auto"/>
        <w:bottom w:val="none" w:sz="0" w:space="0" w:color="auto"/>
        <w:right w:val="none" w:sz="0" w:space="0" w:color="auto"/>
      </w:divBdr>
    </w:div>
    <w:div w:id="707411070">
      <w:bodyDiv w:val="1"/>
      <w:marLeft w:val="0"/>
      <w:marRight w:val="0"/>
      <w:marTop w:val="0"/>
      <w:marBottom w:val="0"/>
      <w:divBdr>
        <w:top w:val="none" w:sz="0" w:space="0" w:color="auto"/>
        <w:left w:val="none" w:sz="0" w:space="0" w:color="auto"/>
        <w:bottom w:val="none" w:sz="0" w:space="0" w:color="auto"/>
        <w:right w:val="none" w:sz="0" w:space="0" w:color="auto"/>
      </w:divBdr>
    </w:div>
    <w:div w:id="707878652">
      <w:bodyDiv w:val="1"/>
      <w:marLeft w:val="0"/>
      <w:marRight w:val="0"/>
      <w:marTop w:val="0"/>
      <w:marBottom w:val="0"/>
      <w:divBdr>
        <w:top w:val="none" w:sz="0" w:space="0" w:color="auto"/>
        <w:left w:val="none" w:sz="0" w:space="0" w:color="auto"/>
        <w:bottom w:val="none" w:sz="0" w:space="0" w:color="auto"/>
        <w:right w:val="none" w:sz="0" w:space="0" w:color="auto"/>
      </w:divBdr>
    </w:div>
    <w:div w:id="708139767">
      <w:bodyDiv w:val="1"/>
      <w:marLeft w:val="0"/>
      <w:marRight w:val="0"/>
      <w:marTop w:val="0"/>
      <w:marBottom w:val="0"/>
      <w:divBdr>
        <w:top w:val="none" w:sz="0" w:space="0" w:color="auto"/>
        <w:left w:val="none" w:sz="0" w:space="0" w:color="auto"/>
        <w:bottom w:val="none" w:sz="0" w:space="0" w:color="auto"/>
        <w:right w:val="none" w:sz="0" w:space="0" w:color="auto"/>
      </w:divBdr>
    </w:div>
    <w:div w:id="709843517">
      <w:bodyDiv w:val="1"/>
      <w:marLeft w:val="0"/>
      <w:marRight w:val="0"/>
      <w:marTop w:val="0"/>
      <w:marBottom w:val="0"/>
      <w:divBdr>
        <w:top w:val="none" w:sz="0" w:space="0" w:color="auto"/>
        <w:left w:val="none" w:sz="0" w:space="0" w:color="auto"/>
        <w:bottom w:val="none" w:sz="0" w:space="0" w:color="auto"/>
        <w:right w:val="none" w:sz="0" w:space="0" w:color="auto"/>
      </w:divBdr>
    </w:div>
    <w:div w:id="711225267">
      <w:bodyDiv w:val="1"/>
      <w:marLeft w:val="0"/>
      <w:marRight w:val="0"/>
      <w:marTop w:val="0"/>
      <w:marBottom w:val="0"/>
      <w:divBdr>
        <w:top w:val="none" w:sz="0" w:space="0" w:color="auto"/>
        <w:left w:val="none" w:sz="0" w:space="0" w:color="auto"/>
        <w:bottom w:val="none" w:sz="0" w:space="0" w:color="auto"/>
        <w:right w:val="none" w:sz="0" w:space="0" w:color="auto"/>
      </w:divBdr>
    </w:div>
    <w:div w:id="711996743">
      <w:bodyDiv w:val="1"/>
      <w:marLeft w:val="0"/>
      <w:marRight w:val="0"/>
      <w:marTop w:val="0"/>
      <w:marBottom w:val="0"/>
      <w:divBdr>
        <w:top w:val="none" w:sz="0" w:space="0" w:color="auto"/>
        <w:left w:val="none" w:sz="0" w:space="0" w:color="auto"/>
        <w:bottom w:val="none" w:sz="0" w:space="0" w:color="auto"/>
        <w:right w:val="none" w:sz="0" w:space="0" w:color="auto"/>
      </w:divBdr>
    </w:div>
    <w:div w:id="714044328">
      <w:bodyDiv w:val="1"/>
      <w:marLeft w:val="0"/>
      <w:marRight w:val="0"/>
      <w:marTop w:val="0"/>
      <w:marBottom w:val="0"/>
      <w:divBdr>
        <w:top w:val="none" w:sz="0" w:space="0" w:color="auto"/>
        <w:left w:val="none" w:sz="0" w:space="0" w:color="auto"/>
        <w:bottom w:val="none" w:sz="0" w:space="0" w:color="auto"/>
        <w:right w:val="none" w:sz="0" w:space="0" w:color="auto"/>
      </w:divBdr>
    </w:div>
    <w:div w:id="716660571">
      <w:bodyDiv w:val="1"/>
      <w:marLeft w:val="0"/>
      <w:marRight w:val="0"/>
      <w:marTop w:val="0"/>
      <w:marBottom w:val="0"/>
      <w:divBdr>
        <w:top w:val="none" w:sz="0" w:space="0" w:color="auto"/>
        <w:left w:val="none" w:sz="0" w:space="0" w:color="auto"/>
        <w:bottom w:val="none" w:sz="0" w:space="0" w:color="auto"/>
        <w:right w:val="none" w:sz="0" w:space="0" w:color="auto"/>
      </w:divBdr>
    </w:div>
    <w:div w:id="721056848">
      <w:bodyDiv w:val="1"/>
      <w:marLeft w:val="0"/>
      <w:marRight w:val="0"/>
      <w:marTop w:val="0"/>
      <w:marBottom w:val="0"/>
      <w:divBdr>
        <w:top w:val="none" w:sz="0" w:space="0" w:color="auto"/>
        <w:left w:val="none" w:sz="0" w:space="0" w:color="auto"/>
        <w:bottom w:val="none" w:sz="0" w:space="0" w:color="auto"/>
        <w:right w:val="none" w:sz="0" w:space="0" w:color="auto"/>
      </w:divBdr>
    </w:div>
    <w:div w:id="724989972">
      <w:bodyDiv w:val="1"/>
      <w:marLeft w:val="0"/>
      <w:marRight w:val="0"/>
      <w:marTop w:val="0"/>
      <w:marBottom w:val="0"/>
      <w:divBdr>
        <w:top w:val="none" w:sz="0" w:space="0" w:color="auto"/>
        <w:left w:val="none" w:sz="0" w:space="0" w:color="auto"/>
        <w:bottom w:val="none" w:sz="0" w:space="0" w:color="auto"/>
        <w:right w:val="none" w:sz="0" w:space="0" w:color="auto"/>
      </w:divBdr>
    </w:div>
    <w:div w:id="727611921">
      <w:bodyDiv w:val="1"/>
      <w:marLeft w:val="0"/>
      <w:marRight w:val="0"/>
      <w:marTop w:val="0"/>
      <w:marBottom w:val="0"/>
      <w:divBdr>
        <w:top w:val="none" w:sz="0" w:space="0" w:color="auto"/>
        <w:left w:val="none" w:sz="0" w:space="0" w:color="auto"/>
        <w:bottom w:val="none" w:sz="0" w:space="0" w:color="auto"/>
        <w:right w:val="none" w:sz="0" w:space="0" w:color="auto"/>
      </w:divBdr>
    </w:div>
    <w:div w:id="732200557">
      <w:bodyDiv w:val="1"/>
      <w:marLeft w:val="0"/>
      <w:marRight w:val="0"/>
      <w:marTop w:val="0"/>
      <w:marBottom w:val="0"/>
      <w:divBdr>
        <w:top w:val="none" w:sz="0" w:space="0" w:color="auto"/>
        <w:left w:val="none" w:sz="0" w:space="0" w:color="auto"/>
        <w:bottom w:val="none" w:sz="0" w:space="0" w:color="auto"/>
        <w:right w:val="none" w:sz="0" w:space="0" w:color="auto"/>
      </w:divBdr>
    </w:div>
    <w:div w:id="733893043">
      <w:bodyDiv w:val="1"/>
      <w:marLeft w:val="0"/>
      <w:marRight w:val="0"/>
      <w:marTop w:val="0"/>
      <w:marBottom w:val="0"/>
      <w:divBdr>
        <w:top w:val="none" w:sz="0" w:space="0" w:color="auto"/>
        <w:left w:val="none" w:sz="0" w:space="0" w:color="auto"/>
        <w:bottom w:val="none" w:sz="0" w:space="0" w:color="auto"/>
        <w:right w:val="none" w:sz="0" w:space="0" w:color="auto"/>
      </w:divBdr>
    </w:div>
    <w:div w:id="735472229">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820183">
      <w:bodyDiv w:val="1"/>
      <w:marLeft w:val="0"/>
      <w:marRight w:val="0"/>
      <w:marTop w:val="0"/>
      <w:marBottom w:val="0"/>
      <w:divBdr>
        <w:top w:val="none" w:sz="0" w:space="0" w:color="auto"/>
        <w:left w:val="none" w:sz="0" w:space="0" w:color="auto"/>
        <w:bottom w:val="none" w:sz="0" w:space="0" w:color="auto"/>
        <w:right w:val="none" w:sz="0" w:space="0" w:color="auto"/>
      </w:divBdr>
    </w:div>
    <w:div w:id="738016735">
      <w:bodyDiv w:val="1"/>
      <w:marLeft w:val="0"/>
      <w:marRight w:val="0"/>
      <w:marTop w:val="0"/>
      <w:marBottom w:val="0"/>
      <w:divBdr>
        <w:top w:val="none" w:sz="0" w:space="0" w:color="auto"/>
        <w:left w:val="none" w:sz="0" w:space="0" w:color="auto"/>
        <w:bottom w:val="none" w:sz="0" w:space="0" w:color="auto"/>
        <w:right w:val="none" w:sz="0" w:space="0" w:color="auto"/>
      </w:divBdr>
    </w:div>
    <w:div w:id="742489947">
      <w:bodyDiv w:val="1"/>
      <w:marLeft w:val="0"/>
      <w:marRight w:val="0"/>
      <w:marTop w:val="0"/>
      <w:marBottom w:val="0"/>
      <w:divBdr>
        <w:top w:val="none" w:sz="0" w:space="0" w:color="auto"/>
        <w:left w:val="none" w:sz="0" w:space="0" w:color="auto"/>
        <w:bottom w:val="none" w:sz="0" w:space="0" w:color="auto"/>
        <w:right w:val="none" w:sz="0" w:space="0" w:color="auto"/>
      </w:divBdr>
    </w:div>
    <w:div w:id="742606276">
      <w:bodyDiv w:val="1"/>
      <w:marLeft w:val="0"/>
      <w:marRight w:val="0"/>
      <w:marTop w:val="0"/>
      <w:marBottom w:val="0"/>
      <w:divBdr>
        <w:top w:val="none" w:sz="0" w:space="0" w:color="auto"/>
        <w:left w:val="none" w:sz="0" w:space="0" w:color="auto"/>
        <w:bottom w:val="none" w:sz="0" w:space="0" w:color="auto"/>
        <w:right w:val="none" w:sz="0" w:space="0" w:color="auto"/>
      </w:divBdr>
    </w:div>
    <w:div w:id="742720709">
      <w:bodyDiv w:val="1"/>
      <w:marLeft w:val="0"/>
      <w:marRight w:val="0"/>
      <w:marTop w:val="0"/>
      <w:marBottom w:val="0"/>
      <w:divBdr>
        <w:top w:val="none" w:sz="0" w:space="0" w:color="auto"/>
        <w:left w:val="none" w:sz="0" w:space="0" w:color="auto"/>
        <w:bottom w:val="none" w:sz="0" w:space="0" w:color="auto"/>
        <w:right w:val="none" w:sz="0" w:space="0" w:color="auto"/>
      </w:divBdr>
    </w:div>
    <w:div w:id="743069825">
      <w:bodyDiv w:val="1"/>
      <w:marLeft w:val="0"/>
      <w:marRight w:val="0"/>
      <w:marTop w:val="0"/>
      <w:marBottom w:val="0"/>
      <w:divBdr>
        <w:top w:val="none" w:sz="0" w:space="0" w:color="auto"/>
        <w:left w:val="none" w:sz="0" w:space="0" w:color="auto"/>
        <w:bottom w:val="none" w:sz="0" w:space="0" w:color="auto"/>
        <w:right w:val="none" w:sz="0" w:space="0" w:color="auto"/>
      </w:divBdr>
    </w:div>
    <w:div w:id="743457624">
      <w:bodyDiv w:val="1"/>
      <w:marLeft w:val="0"/>
      <w:marRight w:val="0"/>
      <w:marTop w:val="0"/>
      <w:marBottom w:val="0"/>
      <w:divBdr>
        <w:top w:val="none" w:sz="0" w:space="0" w:color="auto"/>
        <w:left w:val="none" w:sz="0" w:space="0" w:color="auto"/>
        <w:bottom w:val="none" w:sz="0" w:space="0" w:color="auto"/>
        <w:right w:val="none" w:sz="0" w:space="0" w:color="auto"/>
      </w:divBdr>
    </w:div>
    <w:div w:id="743575597">
      <w:bodyDiv w:val="1"/>
      <w:marLeft w:val="0"/>
      <w:marRight w:val="0"/>
      <w:marTop w:val="0"/>
      <w:marBottom w:val="0"/>
      <w:divBdr>
        <w:top w:val="none" w:sz="0" w:space="0" w:color="auto"/>
        <w:left w:val="none" w:sz="0" w:space="0" w:color="auto"/>
        <w:bottom w:val="none" w:sz="0" w:space="0" w:color="auto"/>
        <w:right w:val="none" w:sz="0" w:space="0" w:color="auto"/>
      </w:divBdr>
    </w:div>
    <w:div w:id="745148948">
      <w:bodyDiv w:val="1"/>
      <w:marLeft w:val="0"/>
      <w:marRight w:val="0"/>
      <w:marTop w:val="0"/>
      <w:marBottom w:val="0"/>
      <w:divBdr>
        <w:top w:val="none" w:sz="0" w:space="0" w:color="auto"/>
        <w:left w:val="none" w:sz="0" w:space="0" w:color="auto"/>
        <w:bottom w:val="none" w:sz="0" w:space="0" w:color="auto"/>
        <w:right w:val="none" w:sz="0" w:space="0" w:color="auto"/>
      </w:divBdr>
    </w:div>
    <w:div w:id="748120681">
      <w:bodyDiv w:val="1"/>
      <w:marLeft w:val="0"/>
      <w:marRight w:val="0"/>
      <w:marTop w:val="0"/>
      <w:marBottom w:val="0"/>
      <w:divBdr>
        <w:top w:val="none" w:sz="0" w:space="0" w:color="auto"/>
        <w:left w:val="none" w:sz="0" w:space="0" w:color="auto"/>
        <w:bottom w:val="none" w:sz="0" w:space="0" w:color="auto"/>
        <w:right w:val="none" w:sz="0" w:space="0" w:color="auto"/>
      </w:divBdr>
    </w:div>
    <w:div w:id="750083242">
      <w:bodyDiv w:val="1"/>
      <w:marLeft w:val="0"/>
      <w:marRight w:val="0"/>
      <w:marTop w:val="0"/>
      <w:marBottom w:val="0"/>
      <w:divBdr>
        <w:top w:val="none" w:sz="0" w:space="0" w:color="auto"/>
        <w:left w:val="none" w:sz="0" w:space="0" w:color="auto"/>
        <w:bottom w:val="none" w:sz="0" w:space="0" w:color="auto"/>
        <w:right w:val="none" w:sz="0" w:space="0" w:color="auto"/>
      </w:divBdr>
    </w:div>
    <w:div w:id="753015843">
      <w:bodyDiv w:val="1"/>
      <w:marLeft w:val="0"/>
      <w:marRight w:val="0"/>
      <w:marTop w:val="0"/>
      <w:marBottom w:val="0"/>
      <w:divBdr>
        <w:top w:val="none" w:sz="0" w:space="0" w:color="auto"/>
        <w:left w:val="none" w:sz="0" w:space="0" w:color="auto"/>
        <w:bottom w:val="none" w:sz="0" w:space="0" w:color="auto"/>
        <w:right w:val="none" w:sz="0" w:space="0" w:color="auto"/>
      </w:divBdr>
    </w:div>
    <w:div w:id="753817371">
      <w:bodyDiv w:val="1"/>
      <w:marLeft w:val="0"/>
      <w:marRight w:val="0"/>
      <w:marTop w:val="0"/>
      <w:marBottom w:val="0"/>
      <w:divBdr>
        <w:top w:val="none" w:sz="0" w:space="0" w:color="auto"/>
        <w:left w:val="none" w:sz="0" w:space="0" w:color="auto"/>
        <w:bottom w:val="none" w:sz="0" w:space="0" w:color="auto"/>
        <w:right w:val="none" w:sz="0" w:space="0" w:color="auto"/>
      </w:divBdr>
    </w:div>
    <w:div w:id="754977748">
      <w:bodyDiv w:val="1"/>
      <w:marLeft w:val="0"/>
      <w:marRight w:val="0"/>
      <w:marTop w:val="0"/>
      <w:marBottom w:val="0"/>
      <w:divBdr>
        <w:top w:val="none" w:sz="0" w:space="0" w:color="auto"/>
        <w:left w:val="none" w:sz="0" w:space="0" w:color="auto"/>
        <w:bottom w:val="none" w:sz="0" w:space="0" w:color="auto"/>
        <w:right w:val="none" w:sz="0" w:space="0" w:color="auto"/>
      </w:divBdr>
    </w:div>
    <w:div w:id="756635965">
      <w:bodyDiv w:val="1"/>
      <w:marLeft w:val="0"/>
      <w:marRight w:val="0"/>
      <w:marTop w:val="0"/>
      <w:marBottom w:val="0"/>
      <w:divBdr>
        <w:top w:val="none" w:sz="0" w:space="0" w:color="auto"/>
        <w:left w:val="none" w:sz="0" w:space="0" w:color="auto"/>
        <w:bottom w:val="none" w:sz="0" w:space="0" w:color="auto"/>
        <w:right w:val="none" w:sz="0" w:space="0" w:color="auto"/>
      </w:divBdr>
    </w:div>
    <w:div w:id="758794901">
      <w:bodyDiv w:val="1"/>
      <w:marLeft w:val="0"/>
      <w:marRight w:val="0"/>
      <w:marTop w:val="0"/>
      <w:marBottom w:val="0"/>
      <w:divBdr>
        <w:top w:val="none" w:sz="0" w:space="0" w:color="auto"/>
        <w:left w:val="none" w:sz="0" w:space="0" w:color="auto"/>
        <w:bottom w:val="none" w:sz="0" w:space="0" w:color="auto"/>
        <w:right w:val="none" w:sz="0" w:space="0" w:color="auto"/>
      </w:divBdr>
    </w:div>
    <w:div w:id="759638082">
      <w:bodyDiv w:val="1"/>
      <w:marLeft w:val="0"/>
      <w:marRight w:val="0"/>
      <w:marTop w:val="0"/>
      <w:marBottom w:val="0"/>
      <w:divBdr>
        <w:top w:val="none" w:sz="0" w:space="0" w:color="auto"/>
        <w:left w:val="none" w:sz="0" w:space="0" w:color="auto"/>
        <w:bottom w:val="none" w:sz="0" w:space="0" w:color="auto"/>
        <w:right w:val="none" w:sz="0" w:space="0" w:color="auto"/>
      </w:divBdr>
    </w:div>
    <w:div w:id="760638888">
      <w:bodyDiv w:val="1"/>
      <w:marLeft w:val="0"/>
      <w:marRight w:val="0"/>
      <w:marTop w:val="0"/>
      <w:marBottom w:val="0"/>
      <w:divBdr>
        <w:top w:val="none" w:sz="0" w:space="0" w:color="auto"/>
        <w:left w:val="none" w:sz="0" w:space="0" w:color="auto"/>
        <w:bottom w:val="none" w:sz="0" w:space="0" w:color="auto"/>
        <w:right w:val="none" w:sz="0" w:space="0" w:color="auto"/>
      </w:divBdr>
    </w:div>
    <w:div w:id="761730517">
      <w:bodyDiv w:val="1"/>
      <w:marLeft w:val="0"/>
      <w:marRight w:val="0"/>
      <w:marTop w:val="0"/>
      <w:marBottom w:val="0"/>
      <w:divBdr>
        <w:top w:val="none" w:sz="0" w:space="0" w:color="auto"/>
        <w:left w:val="none" w:sz="0" w:space="0" w:color="auto"/>
        <w:bottom w:val="none" w:sz="0" w:space="0" w:color="auto"/>
        <w:right w:val="none" w:sz="0" w:space="0" w:color="auto"/>
      </w:divBdr>
    </w:div>
    <w:div w:id="764494492">
      <w:bodyDiv w:val="1"/>
      <w:marLeft w:val="0"/>
      <w:marRight w:val="0"/>
      <w:marTop w:val="0"/>
      <w:marBottom w:val="0"/>
      <w:divBdr>
        <w:top w:val="none" w:sz="0" w:space="0" w:color="auto"/>
        <w:left w:val="none" w:sz="0" w:space="0" w:color="auto"/>
        <w:bottom w:val="none" w:sz="0" w:space="0" w:color="auto"/>
        <w:right w:val="none" w:sz="0" w:space="0" w:color="auto"/>
      </w:divBdr>
    </w:div>
    <w:div w:id="764958360">
      <w:bodyDiv w:val="1"/>
      <w:marLeft w:val="0"/>
      <w:marRight w:val="0"/>
      <w:marTop w:val="0"/>
      <w:marBottom w:val="0"/>
      <w:divBdr>
        <w:top w:val="none" w:sz="0" w:space="0" w:color="auto"/>
        <w:left w:val="none" w:sz="0" w:space="0" w:color="auto"/>
        <w:bottom w:val="none" w:sz="0" w:space="0" w:color="auto"/>
        <w:right w:val="none" w:sz="0" w:space="0" w:color="auto"/>
      </w:divBdr>
    </w:div>
    <w:div w:id="768278812">
      <w:bodyDiv w:val="1"/>
      <w:marLeft w:val="0"/>
      <w:marRight w:val="0"/>
      <w:marTop w:val="0"/>
      <w:marBottom w:val="0"/>
      <w:divBdr>
        <w:top w:val="none" w:sz="0" w:space="0" w:color="auto"/>
        <w:left w:val="none" w:sz="0" w:space="0" w:color="auto"/>
        <w:bottom w:val="none" w:sz="0" w:space="0" w:color="auto"/>
        <w:right w:val="none" w:sz="0" w:space="0" w:color="auto"/>
      </w:divBdr>
    </w:div>
    <w:div w:id="769399287">
      <w:bodyDiv w:val="1"/>
      <w:marLeft w:val="0"/>
      <w:marRight w:val="0"/>
      <w:marTop w:val="0"/>
      <w:marBottom w:val="0"/>
      <w:divBdr>
        <w:top w:val="none" w:sz="0" w:space="0" w:color="auto"/>
        <w:left w:val="none" w:sz="0" w:space="0" w:color="auto"/>
        <w:bottom w:val="none" w:sz="0" w:space="0" w:color="auto"/>
        <w:right w:val="none" w:sz="0" w:space="0" w:color="auto"/>
      </w:divBdr>
    </w:div>
    <w:div w:id="769813788">
      <w:bodyDiv w:val="1"/>
      <w:marLeft w:val="0"/>
      <w:marRight w:val="0"/>
      <w:marTop w:val="0"/>
      <w:marBottom w:val="0"/>
      <w:divBdr>
        <w:top w:val="none" w:sz="0" w:space="0" w:color="auto"/>
        <w:left w:val="none" w:sz="0" w:space="0" w:color="auto"/>
        <w:bottom w:val="none" w:sz="0" w:space="0" w:color="auto"/>
        <w:right w:val="none" w:sz="0" w:space="0" w:color="auto"/>
      </w:divBdr>
    </w:div>
    <w:div w:id="769862248">
      <w:bodyDiv w:val="1"/>
      <w:marLeft w:val="0"/>
      <w:marRight w:val="0"/>
      <w:marTop w:val="0"/>
      <w:marBottom w:val="0"/>
      <w:divBdr>
        <w:top w:val="none" w:sz="0" w:space="0" w:color="auto"/>
        <w:left w:val="none" w:sz="0" w:space="0" w:color="auto"/>
        <w:bottom w:val="none" w:sz="0" w:space="0" w:color="auto"/>
        <w:right w:val="none" w:sz="0" w:space="0" w:color="auto"/>
      </w:divBdr>
    </w:div>
    <w:div w:id="770901021">
      <w:bodyDiv w:val="1"/>
      <w:marLeft w:val="0"/>
      <w:marRight w:val="0"/>
      <w:marTop w:val="0"/>
      <w:marBottom w:val="0"/>
      <w:divBdr>
        <w:top w:val="none" w:sz="0" w:space="0" w:color="auto"/>
        <w:left w:val="none" w:sz="0" w:space="0" w:color="auto"/>
        <w:bottom w:val="none" w:sz="0" w:space="0" w:color="auto"/>
        <w:right w:val="none" w:sz="0" w:space="0" w:color="auto"/>
      </w:divBdr>
    </w:div>
    <w:div w:id="770972683">
      <w:bodyDiv w:val="1"/>
      <w:marLeft w:val="0"/>
      <w:marRight w:val="0"/>
      <w:marTop w:val="0"/>
      <w:marBottom w:val="0"/>
      <w:divBdr>
        <w:top w:val="none" w:sz="0" w:space="0" w:color="auto"/>
        <w:left w:val="none" w:sz="0" w:space="0" w:color="auto"/>
        <w:bottom w:val="none" w:sz="0" w:space="0" w:color="auto"/>
        <w:right w:val="none" w:sz="0" w:space="0" w:color="auto"/>
      </w:divBdr>
    </w:div>
    <w:div w:id="771168155">
      <w:bodyDiv w:val="1"/>
      <w:marLeft w:val="0"/>
      <w:marRight w:val="0"/>
      <w:marTop w:val="0"/>
      <w:marBottom w:val="0"/>
      <w:divBdr>
        <w:top w:val="none" w:sz="0" w:space="0" w:color="auto"/>
        <w:left w:val="none" w:sz="0" w:space="0" w:color="auto"/>
        <w:bottom w:val="none" w:sz="0" w:space="0" w:color="auto"/>
        <w:right w:val="none" w:sz="0" w:space="0" w:color="auto"/>
      </w:divBdr>
    </w:div>
    <w:div w:id="773940603">
      <w:bodyDiv w:val="1"/>
      <w:marLeft w:val="0"/>
      <w:marRight w:val="0"/>
      <w:marTop w:val="0"/>
      <w:marBottom w:val="0"/>
      <w:divBdr>
        <w:top w:val="none" w:sz="0" w:space="0" w:color="auto"/>
        <w:left w:val="none" w:sz="0" w:space="0" w:color="auto"/>
        <w:bottom w:val="none" w:sz="0" w:space="0" w:color="auto"/>
        <w:right w:val="none" w:sz="0" w:space="0" w:color="auto"/>
      </w:divBdr>
    </w:div>
    <w:div w:id="776483268">
      <w:bodyDiv w:val="1"/>
      <w:marLeft w:val="0"/>
      <w:marRight w:val="0"/>
      <w:marTop w:val="0"/>
      <w:marBottom w:val="0"/>
      <w:divBdr>
        <w:top w:val="none" w:sz="0" w:space="0" w:color="auto"/>
        <w:left w:val="none" w:sz="0" w:space="0" w:color="auto"/>
        <w:bottom w:val="none" w:sz="0" w:space="0" w:color="auto"/>
        <w:right w:val="none" w:sz="0" w:space="0" w:color="auto"/>
      </w:divBdr>
    </w:div>
    <w:div w:id="780497551">
      <w:bodyDiv w:val="1"/>
      <w:marLeft w:val="0"/>
      <w:marRight w:val="0"/>
      <w:marTop w:val="0"/>
      <w:marBottom w:val="0"/>
      <w:divBdr>
        <w:top w:val="none" w:sz="0" w:space="0" w:color="auto"/>
        <w:left w:val="none" w:sz="0" w:space="0" w:color="auto"/>
        <w:bottom w:val="none" w:sz="0" w:space="0" w:color="auto"/>
        <w:right w:val="none" w:sz="0" w:space="0" w:color="auto"/>
      </w:divBdr>
    </w:div>
    <w:div w:id="780684441">
      <w:bodyDiv w:val="1"/>
      <w:marLeft w:val="0"/>
      <w:marRight w:val="0"/>
      <w:marTop w:val="0"/>
      <w:marBottom w:val="0"/>
      <w:divBdr>
        <w:top w:val="none" w:sz="0" w:space="0" w:color="auto"/>
        <w:left w:val="none" w:sz="0" w:space="0" w:color="auto"/>
        <w:bottom w:val="none" w:sz="0" w:space="0" w:color="auto"/>
        <w:right w:val="none" w:sz="0" w:space="0" w:color="auto"/>
      </w:divBdr>
    </w:div>
    <w:div w:id="782454488">
      <w:bodyDiv w:val="1"/>
      <w:marLeft w:val="0"/>
      <w:marRight w:val="0"/>
      <w:marTop w:val="0"/>
      <w:marBottom w:val="0"/>
      <w:divBdr>
        <w:top w:val="none" w:sz="0" w:space="0" w:color="auto"/>
        <w:left w:val="none" w:sz="0" w:space="0" w:color="auto"/>
        <w:bottom w:val="none" w:sz="0" w:space="0" w:color="auto"/>
        <w:right w:val="none" w:sz="0" w:space="0" w:color="auto"/>
      </w:divBdr>
    </w:div>
    <w:div w:id="783887070">
      <w:bodyDiv w:val="1"/>
      <w:marLeft w:val="0"/>
      <w:marRight w:val="0"/>
      <w:marTop w:val="0"/>
      <w:marBottom w:val="0"/>
      <w:divBdr>
        <w:top w:val="none" w:sz="0" w:space="0" w:color="auto"/>
        <w:left w:val="none" w:sz="0" w:space="0" w:color="auto"/>
        <w:bottom w:val="none" w:sz="0" w:space="0" w:color="auto"/>
        <w:right w:val="none" w:sz="0" w:space="0" w:color="auto"/>
      </w:divBdr>
    </w:div>
    <w:div w:id="785659182">
      <w:bodyDiv w:val="1"/>
      <w:marLeft w:val="0"/>
      <w:marRight w:val="0"/>
      <w:marTop w:val="0"/>
      <w:marBottom w:val="0"/>
      <w:divBdr>
        <w:top w:val="none" w:sz="0" w:space="0" w:color="auto"/>
        <w:left w:val="none" w:sz="0" w:space="0" w:color="auto"/>
        <w:bottom w:val="none" w:sz="0" w:space="0" w:color="auto"/>
        <w:right w:val="none" w:sz="0" w:space="0" w:color="auto"/>
      </w:divBdr>
    </w:div>
    <w:div w:id="786583597">
      <w:bodyDiv w:val="1"/>
      <w:marLeft w:val="0"/>
      <w:marRight w:val="0"/>
      <w:marTop w:val="0"/>
      <w:marBottom w:val="0"/>
      <w:divBdr>
        <w:top w:val="none" w:sz="0" w:space="0" w:color="auto"/>
        <w:left w:val="none" w:sz="0" w:space="0" w:color="auto"/>
        <w:bottom w:val="none" w:sz="0" w:space="0" w:color="auto"/>
        <w:right w:val="none" w:sz="0" w:space="0" w:color="auto"/>
      </w:divBdr>
    </w:div>
    <w:div w:id="788356733">
      <w:bodyDiv w:val="1"/>
      <w:marLeft w:val="0"/>
      <w:marRight w:val="0"/>
      <w:marTop w:val="0"/>
      <w:marBottom w:val="0"/>
      <w:divBdr>
        <w:top w:val="none" w:sz="0" w:space="0" w:color="auto"/>
        <w:left w:val="none" w:sz="0" w:space="0" w:color="auto"/>
        <w:bottom w:val="none" w:sz="0" w:space="0" w:color="auto"/>
        <w:right w:val="none" w:sz="0" w:space="0" w:color="auto"/>
      </w:divBdr>
    </w:div>
    <w:div w:id="789320710">
      <w:bodyDiv w:val="1"/>
      <w:marLeft w:val="0"/>
      <w:marRight w:val="0"/>
      <w:marTop w:val="0"/>
      <w:marBottom w:val="0"/>
      <w:divBdr>
        <w:top w:val="none" w:sz="0" w:space="0" w:color="auto"/>
        <w:left w:val="none" w:sz="0" w:space="0" w:color="auto"/>
        <w:bottom w:val="none" w:sz="0" w:space="0" w:color="auto"/>
        <w:right w:val="none" w:sz="0" w:space="0" w:color="auto"/>
      </w:divBdr>
    </w:div>
    <w:div w:id="789711308">
      <w:bodyDiv w:val="1"/>
      <w:marLeft w:val="0"/>
      <w:marRight w:val="0"/>
      <w:marTop w:val="0"/>
      <w:marBottom w:val="0"/>
      <w:divBdr>
        <w:top w:val="none" w:sz="0" w:space="0" w:color="auto"/>
        <w:left w:val="none" w:sz="0" w:space="0" w:color="auto"/>
        <w:bottom w:val="none" w:sz="0" w:space="0" w:color="auto"/>
        <w:right w:val="none" w:sz="0" w:space="0" w:color="auto"/>
      </w:divBdr>
    </w:div>
    <w:div w:id="790900209">
      <w:bodyDiv w:val="1"/>
      <w:marLeft w:val="0"/>
      <w:marRight w:val="0"/>
      <w:marTop w:val="0"/>
      <w:marBottom w:val="0"/>
      <w:divBdr>
        <w:top w:val="none" w:sz="0" w:space="0" w:color="auto"/>
        <w:left w:val="none" w:sz="0" w:space="0" w:color="auto"/>
        <w:bottom w:val="none" w:sz="0" w:space="0" w:color="auto"/>
        <w:right w:val="none" w:sz="0" w:space="0" w:color="auto"/>
      </w:divBdr>
    </w:div>
    <w:div w:id="791436086">
      <w:bodyDiv w:val="1"/>
      <w:marLeft w:val="0"/>
      <w:marRight w:val="0"/>
      <w:marTop w:val="0"/>
      <w:marBottom w:val="0"/>
      <w:divBdr>
        <w:top w:val="none" w:sz="0" w:space="0" w:color="auto"/>
        <w:left w:val="none" w:sz="0" w:space="0" w:color="auto"/>
        <w:bottom w:val="none" w:sz="0" w:space="0" w:color="auto"/>
        <w:right w:val="none" w:sz="0" w:space="0" w:color="auto"/>
      </w:divBdr>
    </w:div>
    <w:div w:id="793987438">
      <w:bodyDiv w:val="1"/>
      <w:marLeft w:val="0"/>
      <w:marRight w:val="0"/>
      <w:marTop w:val="0"/>
      <w:marBottom w:val="0"/>
      <w:divBdr>
        <w:top w:val="none" w:sz="0" w:space="0" w:color="auto"/>
        <w:left w:val="none" w:sz="0" w:space="0" w:color="auto"/>
        <w:bottom w:val="none" w:sz="0" w:space="0" w:color="auto"/>
        <w:right w:val="none" w:sz="0" w:space="0" w:color="auto"/>
      </w:divBdr>
    </w:div>
    <w:div w:id="802120136">
      <w:bodyDiv w:val="1"/>
      <w:marLeft w:val="0"/>
      <w:marRight w:val="0"/>
      <w:marTop w:val="0"/>
      <w:marBottom w:val="0"/>
      <w:divBdr>
        <w:top w:val="none" w:sz="0" w:space="0" w:color="auto"/>
        <w:left w:val="none" w:sz="0" w:space="0" w:color="auto"/>
        <w:bottom w:val="none" w:sz="0" w:space="0" w:color="auto"/>
        <w:right w:val="none" w:sz="0" w:space="0" w:color="auto"/>
      </w:divBdr>
    </w:div>
    <w:div w:id="804004975">
      <w:bodyDiv w:val="1"/>
      <w:marLeft w:val="0"/>
      <w:marRight w:val="0"/>
      <w:marTop w:val="0"/>
      <w:marBottom w:val="0"/>
      <w:divBdr>
        <w:top w:val="none" w:sz="0" w:space="0" w:color="auto"/>
        <w:left w:val="none" w:sz="0" w:space="0" w:color="auto"/>
        <w:bottom w:val="none" w:sz="0" w:space="0" w:color="auto"/>
        <w:right w:val="none" w:sz="0" w:space="0" w:color="auto"/>
      </w:divBdr>
    </w:div>
    <w:div w:id="806700246">
      <w:bodyDiv w:val="1"/>
      <w:marLeft w:val="0"/>
      <w:marRight w:val="0"/>
      <w:marTop w:val="0"/>
      <w:marBottom w:val="0"/>
      <w:divBdr>
        <w:top w:val="none" w:sz="0" w:space="0" w:color="auto"/>
        <w:left w:val="none" w:sz="0" w:space="0" w:color="auto"/>
        <w:bottom w:val="none" w:sz="0" w:space="0" w:color="auto"/>
        <w:right w:val="none" w:sz="0" w:space="0" w:color="auto"/>
      </w:divBdr>
    </w:div>
    <w:div w:id="807016238">
      <w:bodyDiv w:val="1"/>
      <w:marLeft w:val="0"/>
      <w:marRight w:val="0"/>
      <w:marTop w:val="0"/>
      <w:marBottom w:val="0"/>
      <w:divBdr>
        <w:top w:val="none" w:sz="0" w:space="0" w:color="auto"/>
        <w:left w:val="none" w:sz="0" w:space="0" w:color="auto"/>
        <w:bottom w:val="none" w:sz="0" w:space="0" w:color="auto"/>
        <w:right w:val="none" w:sz="0" w:space="0" w:color="auto"/>
      </w:divBdr>
    </w:div>
    <w:div w:id="807625548">
      <w:bodyDiv w:val="1"/>
      <w:marLeft w:val="0"/>
      <w:marRight w:val="0"/>
      <w:marTop w:val="0"/>
      <w:marBottom w:val="0"/>
      <w:divBdr>
        <w:top w:val="none" w:sz="0" w:space="0" w:color="auto"/>
        <w:left w:val="none" w:sz="0" w:space="0" w:color="auto"/>
        <w:bottom w:val="none" w:sz="0" w:space="0" w:color="auto"/>
        <w:right w:val="none" w:sz="0" w:space="0" w:color="auto"/>
      </w:divBdr>
    </w:div>
    <w:div w:id="807670374">
      <w:bodyDiv w:val="1"/>
      <w:marLeft w:val="0"/>
      <w:marRight w:val="0"/>
      <w:marTop w:val="0"/>
      <w:marBottom w:val="0"/>
      <w:divBdr>
        <w:top w:val="none" w:sz="0" w:space="0" w:color="auto"/>
        <w:left w:val="none" w:sz="0" w:space="0" w:color="auto"/>
        <w:bottom w:val="none" w:sz="0" w:space="0" w:color="auto"/>
        <w:right w:val="none" w:sz="0" w:space="0" w:color="auto"/>
      </w:divBdr>
    </w:div>
    <w:div w:id="807671259">
      <w:bodyDiv w:val="1"/>
      <w:marLeft w:val="0"/>
      <w:marRight w:val="0"/>
      <w:marTop w:val="0"/>
      <w:marBottom w:val="0"/>
      <w:divBdr>
        <w:top w:val="none" w:sz="0" w:space="0" w:color="auto"/>
        <w:left w:val="none" w:sz="0" w:space="0" w:color="auto"/>
        <w:bottom w:val="none" w:sz="0" w:space="0" w:color="auto"/>
        <w:right w:val="none" w:sz="0" w:space="0" w:color="auto"/>
      </w:divBdr>
    </w:div>
    <w:div w:id="808207449">
      <w:bodyDiv w:val="1"/>
      <w:marLeft w:val="0"/>
      <w:marRight w:val="0"/>
      <w:marTop w:val="0"/>
      <w:marBottom w:val="0"/>
      <w:divBdr>
        <w:top w:val="none" w:sz="0" w:space="0" w:color="auto"/>
        <w:left w:val="none" w:sz="0" w:space="0" w:color="auto"/>
        <w:bottom w:val="none" w:sz="0" w:space="0" w:color="auto"/>
        <w:right w:val="none" w:sz="0" w:space="0" w:color="auto"/>
      </w:divBdr>
    </w:div>
    <w:div w:id="814180076">
      <w:bodyDiv w:val="1"/>
      <w:marLeft w:val="0"/>
      <w:marRight w:val="0"/>
      <w:marTop w:val="0"/>
      <w:marBottom w:val="0"/>
      <w:divBdr>
        <w:top w:val="none" w:sz="0" w:space="0" w:color="auto"/>
        <w:left w:val="none" w:sz="0" w:space="0" w:color="auto"/>
        <w:bottom w:val="none" w:sz="0" w:space="0" w:color="auto"/>
        <w:right w:val="none" w:sz="0" w:space="0" w:color="auto"/>
      </w:divBdr>
    </w:div>
    <w:div w:id="814416962">
      <w:bodyDiv w:val="1"/>
      <w:marLeft w:val="0"/>
      <w:marRight w:val="0"/>
      <w:marTop w:val="0"/>
      <w:marBottom w:val="0"/>
      <w:divBdr>
        <w:top w:val="none" w:sz="0" w:space="0" w:color="auto"/>
        <w:left w:val="none" w:sz="0" w:space="0" w:color="auto"/>
        <w:bottom w:val="none" w:sz="0" w:space="0" w:color="auto"/>
        <w:right w:val="none" w:sz="0" w:space="0" w:color="auto"/>
      </w:divBdr>
    </w:div>
    <w:div w:id="814880242">
      <w:bodyDiv w:val="1"/>
      <w:marLeft w:val="0"/>
      <w:marRight w:val="0"/>
      <w:marTop w:val="0"/>
      <w:marBottom w:val="0"/>
      <w:divBdr>
        <w:top w:val="none" w:sz="0" w:space="0" w:color="auto"/>
        <w:left w:val="none" w:sz="0" w:space="0" w:color="auto"/>
        <w:bottom w:val="none" w:sz="0" w:space="0" w:color="auto"/>
        <w:right w:val="none" w:sz="0" w:space="0" w:color="auto"/>
      </w:divBdr>
    </w:div>
    <w:div w:id="814880954">
      <w:bodyDiv w:val="1"/>
      <w:marLeft w:val="0"/>
      <w:marRight w:val="0"/>
      <w:marTop w:val="0"/>
      <w:marBottom w:val="0"/>
      <w:divBdr>
        <w:top w:val="none" w:sz="0" w:space="0" w:color="auto"/>
        <w:left w:val="none" w:sz="0" w:space="0" w:color="auto"/>
        <w:bottom w:val="none" w:sz="0" w:space="0" w:color="auto"/>
        <w:right w:val="none" w:sz="0" w:space="0" w:color="auto"/>
      </w:divBdr>
    </w:div>
    <w:div w:id="815336618">
      <w:bodyDiv w:val="1"/>
      <w:marLeft w:val="0"/>
      <w:marRight w:val="0"/>
      <w:marTop w:val="0"/>
      <w:marBottom w:val="0"/>
      <w:divBdr>
        <w:top w:val="none" w:sz="0" w:space="0" w:color="auto"/>
        <w:left w:val="none" w:sz="0" w:space="0" w:color="auto"/>
        <w:bottom w:val="none" w:sz="0" w:space="0" w:color="auto"/>
        <w:right w:val="none" w:sz="0" w:space="0" w:color="auto"/>
      </w:divBdr>
    </w:div>
    <w:div w:id="815337232">
      <w:bodyDiv w:val="1"/>
      <w:marLeft w:val="0"/>
      <w:marRight w:val="0"/>
      <w:marTop w:val="0"/>
      <w:marBottom w:val="0"/>
      <w:divBdr>
        <w:top w:val="none" w:sz="0" w:space="0" w:color="auto"/>
        <w:left w:val="none" w:sz="0" w:space="0" w:color="auto"/>
        <w:bottom w:val="none" w:sz="0" w:space="0" w:color="auto"/>
        <w:right w:val="none" w:sz="0" w:space="0" w:color="auto"/>
      </w:divBdr>
    </w:div>
    <w:div w:id="815419337">
      <w:bodyDiv w:val="1"/>
      <w:marLeft w:val="0"/>
      <w:marRight w:val="0"/>
      <w:marTop w:val="0"/>
      <w:marBottom w:val="0"/>
      <w:divBdr>
        <w:top w:val="none" w:sz="0" w:space="0" w:color="auto"/>
        <w:left w:val="none" w:sz="0" w:space="0" w:color="auto"/>
        <w:bottom w:val="none" w:sz="0" w:space="0" w:color="auto"/>
        <w:right w:val="none" w:sz="0" w:space="0" w:color="auto"/>
      </w:divBdr>
    </w:div>
    <w:div w:id="816796547">
      <w:bodyDiv w:val="1"/>
      <w:marLeft w:val="0"/>
      <w:marRight w:val="0"/>
      <w:marTop w:val="0"/>
      <w:marBottom w:val="0"/>
      <w:divBdr>
        <w:top w:val="none" w:sz="0" w:space="0" w:color="auto"/>
        <w:left w:val="none" w:sz="0" w:space="0" w:color="auto"/>
        <w:bottom w:val="none" w:sz="0" w:space="0" w:color="auto"/>
        <w:right w:val="none" w:sz="0" w:space="0" w:color="auto"/>
      </w:divBdr>
    </w:div>
    <w:div w:id="819031284">
      <w:bodyDiv w:val="1"/>
      <w:marLeft w:val="0"/>
      <w:marRight w:val="0"/>
      <w:marTop w:val="0"/>
      <w:marBottom w:val="0"/>
      <w:divBdr>
        <w:top w:val="none" w:sz="0" w:space="0" w:color="auto"/>
        <w:left w:val="none" w:sz="0" w:space="0" w:color="auto"/>
        <w:bottom w:val="none" w:sz="0" w:space="0" w:color="auto"/>
        <w:right w:val="none" w:sz="0" w:space="0" w:color="auto"/>
      </w:divBdr>
    </w:div>
    <w:div w:id="820775153">
      <w:bodyDiv w:val="1"/>
      <w:marLeft w:val="0"/>
      <w:marRight w:val="0"/>
      <w:marTop w:val="0"/>
      <w:marBottom w:val="0"/>
      <w:divBdr>
        <w:top w:val="none" w:sz="0" w:space="0" w:color="auto"/>
        <w:left w:val="none" w:sz="0" w:space="0" w:color="auto"/>
        <w:bottom w:val="none" w:sz="0" w:space="0" w:color="auto"/>
        <w:right w:val="none" w:sz="0" w:space="0" w:color="auto"/>
      </w:divBdr>
    </w:div>
    <w:div w:id="832643401">
      <w:bodyDiv w:val="1"/>
      <w:marLeft w:val="0"/>
      <w:marRight w:val="0"/>
      <w:marTop w:val="0"/>
      <w:marBottom w:val="0"/>
      <w:divBdr>
        <w:top w:val="none" w:sz="0" w:space="0" w:color="auto"/>
        <w:left w:val="none" w:sz="0" w:space="0" w:color="auto"/>
        <w:bottom w:val="none" w:sz="0" w:space="0" w:color="auto"/>
        <w:right w:val="none" w:sz="0" w:space="0" w:color="auto"/>
      </w:divBdr>
    </w:div>
    <w:div w:id="835219376">
      <w:bodyDiv w:val="1"/>
      <w:marLeft w:val="0"/>
      <w:marRight w:val="0"/>
      <w:marTop w:val="0"/>
      <w:marBottom w:val="0"/>
      <w:divBdr>
        <w:top w:val="none" w:sz="0" w:space="0" w:color="auto"/>
        <w:left w:val="none" w:sz="0" w:space="0" w:color="auto"/>
        <w:bottom w:val="none" w:sz="0" w:space="0" w:color="auto"/>
        <w:right w:val="none" w:sz="0" w:space="0" w:color="auto"/>
      </w:divBdr>
    </w:div>
    <w:div w:id="835531465">
      <w:bodyDiv w:val="1"/>
      <w:marLeft w:val="0"/>
      <w:marRight w:val="0"/>
      <w:marTop w:val="0"/>
      <w:marBottom w:val="0"/>
      <w:divBdr>
        <w:top w:val="none" w:sz="0" w:space="0" w:color="auto"/>
        <w:left w:val="none" w:sz="0" w:space="0" w:color="auto"/>
        <w:bottom w:val="none" w:sz="0" w:space="0" w:color="auto"/>
        <w:right w:val="none" w:sz="0" w:space="0" w:color="auto"/>
      </w:divBdr>
    </w:div>
    <w:div w:id="838348260">
      <w:bodyDiv w:val="1"/>
      <w:marLeft w:val="0"/>
      <w:marRight w:val="0"/>
      <w:marTop w:val="0"/>
      <w:marBottom w:val="0"/>
      <w:divBdr>
        <w:top w:val="none" w:sz="0" w:space="0" w:color="auto"/>
        <w:left w:val="none" w:sz="0" w:space="0" w:color="auto"/>
        <w:bottom w:val="none" w:sz="0" w:space="0" w:color="auto"/>
        <w:right w:val="none" w:sz="0" w:space="0" w:color="auto"/>
      </w:divBdr>
    </w:div>
    <w:div w:id="839350077">
      <w:bodyDiv w:val="1"/>
      <w:marLeft w:val="0"/>
      <w:marRight w:val="0"/>
      <w:marTop w:val="0"/>
      <w:marBottom w:val="0"/>
      <w:divBdr>
        <w:top w:val="none" w:sz="0" w:space="0" w:color="auto"/>
        <w:left w:val="none" w:sz="0" w:space="0" w:color="auto"/>
        <w:bottom w:val="none" w:sz="0" w:space="0" w:color="auto"/>
        <w:right w:val="none" w:sz="0" w:space="0" w:color="auto"/>
      </w:divBdr>
    </w:div>
    <w:div w:id="841622169">
      <w:bodyDiv w:val="1"/>
      <w:marLeft w:val="0"/>
      <w:marRight w:val="0"/>
      <w:marTop w:val="0"/>
      <w:marBottom w:val="0"/>
      <w:divBdr>
        <w:top w:val="none" w:sz="0" w:space="0" w:color="auto"/>
        <w:left w:val="none" w:sz="0" w:space="0" w:color="auto"/>
        <w:bottom w:val="none" w:sz="0" w:space="0" w:color="auto"/>
        <w:right w:val="none" w:sz="0" w:space="0" w:color="auto"/>
      </w:divBdr>
    </w:div>
    <w:div w:id="844857097">
      <w:bodyDiv w:val="1"/>
      <w:marLeft w:val="0"/>
      <w:marRight w:val="0"/>
      <w:marTop w:val="0"/>
      <w:marBottom w:val="0"/>
      <w:divBdr>
        <w:top w:val="none" w:sz="0" w:space="0" w:color="auto"/>
        <w:left w:val="none" w:sz="0" w:space="0" w:color="auto"/>
        <w:bottom w:val="none" w:sz="0" w:space="0" w:color="auto"/>
        <w:right w:val="none" w:sz="0" w:space="0" w:color="auto"/>
      </w:divBdr>
    </w:div>
    <w:div w:id="846287268">
      <w:bodyDiv w:val="1"/>
      <w:marLeft w:val="0"/>
      <w:marRight w:val="0"/>
      <w:marTop w:val="0"/>
      <w:marBottom w:val="0"/>
      <w:divBdr>
        <w:top w:val="none" w:sz="0" w:space="0" w:color="auto"/>
        <w:left w:val="none" w:sz="0" w:space="0" w:color="auto"/>
        <w:bottom w:val="none" w:sz="0" w:space="0" w:color="auto"/>
        <w:right w:val="none" w:sz="0" w:space="0" w:color="auto"/>
      </w:divBdr>
    </w:div>
    <w:div w:id="846558359">
      <w:bodyDiv w:val="1"/>
      <w:marLeft w:val="0"/>
      <w:marRight w:val="0"/>
      <w:marTop w:val="0"/>
      <w:marBottom w:val="0"/>
      <w:divBdr>
        <w:top w:val="none" w:sz="0" w:space="0" w:color="auto"/>
        <w:left w:val="none" w:sz="0" w:space="0" w:color="auto"/>
        <w:bottom w:val="none" w:sz="0" w:space="0" w:color="auto"/>
        <w:right w:val="none" w:sz="0" w:space="0" w:color="auto"/>
      </w:divBdr>
    </w:div>
    <w:div w:id="848568825">
      <w:bodyDiv w:val="1"/>
      <w:marLeft w:val="0"/>
      <w:marRight w:val="0"/>
      <w:marTop w:val="0"/>
      <w:marBottom w:val="0"/>
      <w:divBdr>
        <w:top w:val="none" w:sz="0" w:space="0" w:color="auto"/>
        <w:left w:val="none" w:sz="0" w:space="0" w:color="auto"/>
        <w:bottom w:val="none" w:sz="0" w:space="0" w:color="auto"/>
        <w:right w:val="none" w:sz="0" w:space="0" w:color="auto"/>
      </w:divBdr>
    </w:div>
    <w:div w:id="849102930">
      <w:bodyDiv w:val="1"/>
      <w:marLeft w:val="0"/>
      <w:marRight w:val="0"/>
      <w:marTop w:val="0"/>
      <w:marBottom w:val="0"/>
      <w:divBdr>
        <w:top w:val="none" w:sz="0" w:space="0" w:color="auto"/>
        <w:left w:val="none" w:sz="0" w:space="0" w:color="auto"/>
        <w:bottom w:val="none" w:sz="0" w:space="0" w:color="auto"/>
        <w:right w:val="none" w:sz="0" w:space="0" w:color="auto"/>
      </w:divBdr>
    </w:div>
    <w:div w:id="855997479">
      <w:bodyDiv w:val="1"/>
      <w:marLeft w:val="0"/>
      <w:marRight w:val="0"/>
      <w:marTop w:val="0"/>
      <w:marBottom w:val="0"/>
      <w:divBdr>
        <w:top w:val="none" w:sz="0" w:space="0" w:color="auto"/>
        <w:left w:val="none" w:sz="0" w:space="0" w:color="auto"/>
        <w:bottom w:val="none" w:sz="0" w:space="0" w:color="auto"/>
        <w:right w:val="none" w:sz="0" w:space="0" w:color="auto"/>
      </w:divBdr>
    </w:div>
    <w:div w:id="857083650">
      <w:bodyDiv w:val="1"/>
      <w:marLeft w:val="0"/>
      <w:marRight w:val="0"/>
      <w:marTop w:val="0"/>
      <w:marBottom w:val="0"/>
      <w:divBdr>
        <w:top w:val="none" w:sz="0" w:space="0" w:color="auto"/>
        <w:left w:val="none" w:sz="0" w:space="0" w:color="auto"/>
        <w:bottom w:val="none" w:sz="0" w:space="0" w:color="auto"/>
        <w:right w:val="none" w:sz="0" w:space="0" w:color="auto"/>
      </w:divBdr>
    </w:div>
    <w:div w:id="860322522">
      <w:bodyDiv w:val="1"/>
      <w:marLeft w:val="0"/>
      <w:marRight w:val="0"/>
      <w:marTop w:val="0"/>
      <w:marBottom w:val="0"/>
      <w:divBdr>
        <w:top w:val="none" w:sz="0" w:space="0" w:color="auto"/>
        <w:left w:val="none" w:sz="0" w:space="0" w:color="auto"/>
        <w:bottom w:val="none" w:sz="0" w:space="0" w:color="auto"/>
        <w:right w:val="none" w:sz="0" w:space="0" w:color="auto"/>
      </w:divBdr>
    </w:div>
    <w:div w:id="860582414">
      <w:bodyDiv w:val="1"/>
      <w:marLeft w:val="0"/>
      <w:marRight w:val="0"/>
      <w:marTop w:val="0"/>
      <w:marBottom w:val="0"/>
      <w:divBdr>
        <w:top w:val="none" w:sz="0" w:space="0" w:color="auto"/>
        <w:left w:val="none" w:sz="0" w:space="0" w:color="auto"/>
        <w:bottom w:val="none" w:sz="0" w:space="0" w:color="auto"/>
        <w:right w:val="none" w:sz="0" w:space="0" w:color="auto"/>
      </w:divBdr>
    </w:div>
    <w:div w:id="861360604">
      <w:bodyDiv w:val="1"/>
      <w:marLeft w:val="0"/>
      <w:marRight w:val="0"/>
      <w:marTop w:val="0"/>
      <w:marBottom w:val="0"/>
      <w:divBdr>
        <w:top w:val="none" w:sz="0" w:space="0" w:color="auto"/>
        <w:left w:val="none" w:sz="0" w:space="0" w:color="auto"/>
        <w:bottom w:val="none" w:sz="0" w:space="0" w:color="auto"/>
        <w:right w:val="none" w:sz="0" w:space="0" w:color="auto"/>
      </w:divBdr>
    </w:div>
    <w:div w:id="861548619">
      <w:bodyDiv w:val="1"/>
      <w:marLeft w:val="0"/>
      <w:marRight w:val="0"/>
      <w:marTop w:val="0"/>
      <w:marBottom w:val="0"/>
      <w:divBdr>
        <w:top w:val="none" w:sz="0" w:space="0" w:color="auto"/>
        <w:left w:val="none" w:sz="0" w:space="0" w:color="auto"/>
        <w:bottom w:val="none" w:sz="0" w:space="0" w:color="auto"/>
        <w:right w:val="none" w:sz="0" w:space="0" w:color="auto"/>
      </w:divBdr>
    </w:div>
    <w:div w:id="862548014">
      <w:bodyDiv w:val="1"/>
      <w:marLeft w:val="0"/>
      <w:marRight w:val="0"/>
      <w:marTop w:val="0"/>
      <w:marBottom w:val="0"/>
      <w:divBdr>
        <w:top w:val="none" w:sz="0" w:space="0" w:color="auto"/>
        <w:left w:val="none" w:sz="0" w:space="0" w:color="auto"/>
        <w:bottom w:val="none" w:sz="0" w:space="0" w:color="auto"/>
        <w:right w:val="none" w:sz="0" w:space="0" w:color="auto"/>
      </w:divBdr>
    </w:div>
    <w:div w:id="863979989">
      <w:bodyDiv w:val="1"/>
      <w:marLeft w:val="0"/>
      <w:marRight w:val="0"/>
      <w:marTop w:val="0"/>
      <w:marBottom w:val="0"/>
      <w:divBdr>
        <w:top w:val="none" w:sz="0" w:space="0" w:color="auto"/>
        <w:left w:val="none" w:sz="0" w:space="0" w:color="auto"/>
        <w:bottom w:val="none" w:sz="0" w:space="0" w:color="auto"/>
        <w:right w:val="none" w:sz="0" w:space="0" w:color="auto"/>
      </w:divBdr>
    </w:div>
    <w:div w:id="866219962">
      <w:bodyDiv w:val="1"/>
      <w:marLeft w:val="0"/>
      <w:marRight w:val="0"/>
      <w:marTop w:val="0"/>
      <w:marBottom w:val="0"/>
      <w:divBdr>
        <w:top w:val="none" w:sz="0" w:space="0" w:color="auto"/>
        <w:left w:val="none" w:sz="0" w:space="0" w:color="auto"/>
        <w:bottom w:val="none" w:sz="0" w:space="0" w:color="auto"/>
        <w:right w:val="none" w:sz="0" w:space="0" w:color="auto"/>
      </w:divBdr>
    </w:div>
    <w:div w:id="869028194">
      <w:bodyDiv w:val="1"/>
      <w:marLeft w:val="0"/>
      <w:marRight w:val="0"/>
      <w:marTop w:val="0"/>
      <w:marBottom w:val="0"/>
      <w:divBdr>
        <w:top w:val="none" w:sz="0" w:space="0" w:color="auto"/>
        <w:left w:val="none" w:sz="0" w:space="0" w:color="auto"/>
        <w:bottom w:val="none" w:sz="0" w:space="0" w:color="auto"/>
        <w:right w:val="none" w:sz="0" w:space="0" w:color="auto"/>
      </w:divBdr>
    </w:div>
    <w:div w:id="869225192">
      <w:bodyDiv w:val="1"/>
      <w:marLeft w:val="0"/>
      <w:marRight w:val="0"/>
      <w:marTop w:val="0"/>
      <w:marBottom w:val="0"/>
      <w:divBdr>
        <w:top w:val="none" w:sz="0" w:space="0" w:color="auto"/>
        <w:left w:val="none" w:sz="0" w:space="0" w:color="auto"/>
        <w:bottom w:val="none" w:sz="0" w:space="0" w:color="auto"/>
        <w:right w:val="none" w:sz="0" w:space="0" w:color="auto"/>
      </w:divBdr>
    </w:div>
    <w:div w:id="869803974">
      <w:bodyDiv w:val="1"/>
      <w:marLeft w:val="0"/>
      <w:marRight w:val="0"/>
      <w:marTop w:val="0"/>
      <w:marBottom w:val="0"/>
      <w:divBdr>
        <w:top w:val="none" w:sz="0" w:space="0" w:color="auto"/>
        <w:left w:val="none" w:sz="0" w:space="0" w:color="auto"/>
        <w:bottom w:val="none" w:sz="0" w:space="0" w:color="auto"/>
        <w:right w:val="none" w:sz="0" w:space="0" w:color="auto"/>
      </w:divBdr>
    </w:div>
    <w:div w:id="870338708">
      <w:bodyDiv w:val="1"/>
      <w:marLeft w:val="0"/>
      <w:marRight w:val="0"/>
      <w:marTop w:val="0"/>
      <w:marBottom w:val="0"/>
      <w:divBdr>
        <w:top w:val="none" w:sz="0" w:space="0" w:color="auto"/>
        <w:left w:val="none" w:sz="0" w:space="0" w:color="auto"/>
        <w:bottom w:val="none" w:sz="0" w:space="0" w:color="auto"/>
        <w:right w:val="none" w:sz="0" w:space="0" w:color="auto"/>
      </w:divBdr>
    </w:div>
    <w:div w:id="871848803">
      <w:bodyDiv w:val="1"/>
      <w:marLeft w:val="0"/>
      <w:marRight w:val="0"/>
      <w:marTop w:val="0"/>
      <w:marBottom w:val="0"/>
      <w:divBdr>
        <w:top w:val="none" w:sz="0" w:space="0" w:color="auto"/>
        <w:left w:val="none" w:sz="0" w:space="0" w:color="auto"/>
        <w:bottom w:val="none" w:sz="0" w:space="0" w:color="auto"/>
        <w:right w:val="none" w:sz="0" w:space="0" w:color="auto"/>
      </w:divBdr>
    </w:div>
    <w:div w:id="873617459">
      <w:bodyDiv w:val="1"/>
      <w:marLeft w:val="0"/>
      <w:marRight w:val="0"/>
      <w:marTop w:val="0"/>
      <w:marBottom w:val="0"/>
      <w:divBdr>
        <w:top w:val="none" w:sz="0" w:space="0" w:color="auto"/>
        <w:left w:val="none" w:sz="0" w:space="0" w:color="auto"/>
        <w:bottom w:val="none" w:sz="0" w:space="0" w:color="auto"/>
        <w:right w:val="none" w:sz="0" w:space="0" w:color="auto"/>
      </w:divBdr>
    </w:div>
    <w:div w:id="873734711">
      <w:bodyDiv w:val="1"/>
      <w:marLeft w:val="0"/>
      <w:marRight w:val="0"/>
      <w:marTop w:val="0"/>
      <w:marBottom w:val="0"/>
      <w:divBdr>
        <w:top w:val="none" w:sz="0" w:space="0" w:color="auto"/>
        <w:left w:val="none" w:sz="0" w:space="0" w:color="auto"/>
        <w:bottom w:val="none" w:sz="0" w:space="0" w:color="auto"/>
        <w:right w:val="none" w:sz="0" w:space="0" w:color="auto"/>
      </w:divBdr>
    </w:div>
    <w:div w:id="874001803">
      <w:bodyDiv w:val="1"/>
      <w:marLeft w:val="0"/>
      <w:marRight w:val="0"/>
      <w:marTop w:val="0"/>
      <w:marBottom w:val="0"/>
      <w:divBdr>
        <w:top w:val="none" w:sz="0" w:space="0" w:color="auto"/>
        <w:left w:val="none" w:sz="0" w:space="0" w:color="auto"/>
        <w:bottom w:val="none" w:sz="0" w:space="0" w:color="auto"/>
        <w:right w:val="none" w:sz="0" w:space="0" w:color="auto"/>
      </w:divBdr>
    </w:div>
    <w:div w:id="874192299">
      <w:bodyDiv w:val="1"/>
      <w:marLeft w:val="0"/>
      <w:marRight w:val="0"/>
      <w:marTop w:val="0"/>
      <w:marBottom w:val="0"/>
      <w:divBdr>
        <w:top w:val="none" w:sz="0" w:space="0" w:color="auto"/>
        <w:left w:val="none" w:sz="0" w:space="0" w:color="auto"/>
        <w:bottom w:val="none" w:sz="0" w:space="0" w:color="auto"/>
        <w:right w:val="none" w:sz="0" w:space="0" w:color="auto"/>
      </w:divBdr>
    </w:div>
    <w:div w:id="877473146">
      <w:bodyDiv w:val="1"/>
      <w:marLeft w:val="0"/>
      <w:marRight w:val="0"/>
      <w:marTop w:val="0"/>
      <w:marBottom w:val="0"/>
      <w:divBdr>
        <w:top w:val="none" w:sz="0" w:space="0" w:color="auto"/>
        <w:left w:val="none" w:sz="0" w:space="0" w:color="auto"/>
        <w:bottom w:val="none" w:sz="0" w:space="0" w:color="auto"/>
        <w:right w:val="none" w:sz="0" w:space="0" w:color="auto"/>
      </w:divBdr>
    </w:div>
    <w:div w:id="878738322">
      <w:bodyDiv w:val="1"/>
      <w:marLeft w:val="0"/>
      <w:marRight w:val="0"/>
      <w:marTop w:val="0"/>
      <w:marBottom w:val="0"/>
      <w:divBdr>
        <w:top w:val="none" w:sz="0" w:space="0" w:color="auto"/>
        <w:left w:val="none" w:sz="0" w:space="0" w:color="auto"/>
        <w:bottom w:val="none" w:sz="0" w:space="0" w:color="auto"/>
        <w:right w:val="none" w:sz="0" w:space="0" w:color="auto"/>
      </w:divBdr>
    </w:div>
    <w:div w:id="882526286">
      <w:bodyDiv w:val="1"/>
      <w:marLeft w:val="0"/>
      <w:marRight w:val="0"/>
      <w:marTop w:val="0"/>
      <w:marBottom w:val="0"/>
      <w:divBdr>
        <w:top w:val="none" w:sz="0" w:space="0" w:color="auto"/>
        <w:left w:val="none" w:sz="0" w:space="0" w:color="auto"/>
        <w:bottom w:val="none" w:sz="0" w:space="0" w:color="auto"/>
        <w:right w:val="none" w:sz="0" w:space="0" w:color="auto"/>
      </w:divBdr>
    </w:div>
    <w:div w:id="885338140">
      <w:bodyDiv w:val="1"/>
      <w:marLeft w:val="0"/>
      <w:marRight w:val="0"/>
      <w:marTop w:val="0"/>
      <w:marBottom w:val="0"/>
      <w:divBdr>
        <w:top w:val="none" w:sz="0" w:space="0" w:color="auto"/>
        <w:left w:val="none" w:sz="0" w:space="0" w:color="auto"/>
        <w:bottom w:val="none" w:sz="0" w:space="0" w:color="auto"/>
        <w:right w:val="none" w:sz="0" w:space="0" w:color="auto"/>
      </w:divBdr>
    </w:div>
    <w:div w:id="890842686">
      <w:bodyDiv w:val="1"/>
      <w:marLeft w:val="0"/>
      <w:marRight w:val="0"/>
      <w:marTop w:val="0"/>
      <w:marBottom w:val="0"/>
      <w:divBdr>
        <w:top w:val="none" w:sz="0" w:space="0" w:color="auto"/>
        <w:left w:val="none" w:sz="0" w:space="0" w:color="auto"/>
        <w:bottom w:val="none" w:sz="0" w:space="0" w:color="auto"/>
        <w:right w:val="none" w:sz="0" w:space="0" w:color="auto"/>
      </w:divBdr>
    </w:div>
    <w:div w:id="891696829">
      <w:bodyDiv w:val="1"/>
      <w:marLeft w:val="0"/>
      <w:marRight w:val="0"/>
      <w:marTop w:val="0"/>
      <w:marBottom w:val="0"/>
      <w:divBdr>
        <w:top w:val="none" w:sz="0" w:space="0" w:color="auto"/>
        <w:left w:val="none" w:sz="0" w:space="0" w:color="auto"/>
        <w:bottom w:val="none" w:sz="0" w:space="0" w:color="auto"/>
        <w:right w:val="none" w:sz="0" w:space="0" w:color="auto"/>
      </w:divBdr>
    </w:div>
    <w:div w:id="892080326">
      <w:bodyDiv w:val="1"/>
      <w:marLeft w:val="0"/>
      <w:marRight w:val="0"/>
      <w:marTop w:val="0"/>
      <w:marBottom w:val="0"/>
      <w:divBdr>
        <w:top w:val="none" w:sz="0" w:space="0" w:color="auto"/>
        <w:left w:val="none" w:sz="0" w:space="0" w:color="auto"/>
        <w:bottom w:val="none" w:sz="0" w:space="0" w:color="auto"/>
        <w:right w:val="none" w:sz="0" w:space="0" w:color="auto"/>
      </w:divBdr>
    </w:div>
    <w:div w:id="892153304">
      <w:bodyDiv w:val="1"/>
      <w:marLeft w:val="0"/>
      <w:marRight w:val="0"/>
      <w:marTop w:val="0"/>
      <w:marBottom w:val="0"/>
      <w:divBdr>
        <w:top w:val="none" w:sz="0" w:space="0" w:color="auto"/>
        <w:left w:val="none" w:sz="0" w:space="0" w:color="auto"/>
        <w:bottom w:val="none" w:sz="0" w:space="0" w:color="auto"/>
        <w:right w:val="none" w:sz="0" w:space="0" w:color="auto"/>
      </w:divBdr>
    </w:div>
    <w:div w:id="894244781">
      <w:bodyDiv w:val="1"/>
      <w:marLeft w:val="0"/>
      <w:marRight w:val="0"/>
      <w:marTop w:val="0"/>
      <w:marBottom w:val="0"/>
      <w:divBdr>
        <w:top w:val="none" w:sz="0" w:space="0" w:color="auto"/>
        <w:left w:val="none" w:sz="0" w:space="0" w:color="auto"/>
        <w:bottom w:val="none" w:sz="0" w:space="0" w:color="auto"/>
        <w:right w:val="none" w:sz="0" w:space="0" w:color="auto"/>
      </w:divBdr>
    </w:div>
    <w:div w:id="896280687">
      <w:bodyDiv w:val="1"/>
      <w:marLeft w:val="0"/>
      <w:marRight w:val="0"/>
      <w:marTop w:val="0"/>
      <w:marBottom w:val="0"/>
      <w:divBdr>
        <w:top w:val="none" w:sz="0" w:space="0" w:color="auto"/>
        <w:left w:val="none" w:sz="0" w:space="0" w:color="auto"/>
        <w:bottom w:val="none" w:sz="0" w:space="0" w:color="auto"/>
        <w:right w:val="none" w:sz="0" w:space="0" w:color="auto"/>
      </w:divBdr>
    </w:div>
    <w:div w:id="897472766">
      <w:bodyDiv w:val="1"/>
      <w:marLeft w:val="0"/>
      <w:marRight w:val="0"/>
      <w:marTop w:val="0"/>
      <w:marBottom w:val="0"/>
      <w:divBdr>
        <w:top w:val="none" w:sz="0" w:space="0" w:color="auto"/>
        <w:left w:val="none" w:sz="0" w:space="0" w:color="auto"/>
        <w:bottom w:val="none" w:sz="0" w:space="0" w:color="auto"/>
        <w:right w:val="none" w:sz="0" w:space="0" w:color="auto"/>
      </w:divBdr>
    </w:div>
    <w:div w:id="897517976">
      <w:bodyDiv w:val="1"/>
      <w:marLeft w:val="0"/>
      <w:marRight w:val="0"/>
      <w:marTop w:val="0"/>
      <w:marBottom w:val="0"/>
      <w:divBdr>
        <w:top w:val="none" w:sz="0" w:space="0" w:color="auto"/>
        <w:left w:val="none" w:sz="0" w:space="0" w:color="auto"/>
        <w:bottom w:val="none" w:sz="0" w:space="0" w:color="auto"/>
        <w:right w:val="none" w:sz="0" w:space="0" w:color="auto"/>
      </w:divBdr>
    </w:div>
    <w:div w:id="902762366">
      <w:bodyDiv w:val="1"/>
      <w:marLeft w:val="0"/>
      <w:marRight w:val="0"/>
      <w:marTop w:val="0"/>
      <w:marBottom w:val="0"/>
      <w:divBdr>
        <w:top w:val="none" w:sz="0" w:space="0" w:color="auto"/>
        <w:left w:val="none" w:sz="0" w:space="0" w:color="auto"/>
        <w:bottom w:val="none" w:sz="0" w:space="0" w:color="auto"/>
        <w:right w:val="none" w:sz="0" w:space="0" w:color="auto"/>
      </w:divBdr>
    </w:div>
    <w:div w:id="907883975">
      <w:bodyDiv w:val="1"/>
      <w:marLeft w:val="0"/>
      <w:marRight w:val="0"/>
      <w:marTop w:val="0"/>
      <w:marBottom w:val="0"/>
      <w:divBdr>
        <w:top w:val="none" w:sz="0" w:space="0" w:color="auto"/>
        <w:left w:val="none" w:sz="0" w:space="0" w:color="auto"/>
        <w:bottom w:val="none" w:sz="0" w:space="0" w:color="auto"/>
        <w:right w:val="none" w:sz="0" w:space="0" w:color="auto"/>
      </w:divBdr>
    </w:div>
    <w:div w:id="908854427">
      <w:bodyDiv w:val="1"/>
      <w:marLeft w:val="0"/>
      <w:marRight w:val="0"/>
      <w:marTop w:val="0"/>
      <w:marBottom w:val="0"/>
      <w:divBdr>
        <w:top w:val="none" w:sz="0" w:space="0" w:color="auto"/>
        <w:left w:val="none" w:sz="0" w:space="0" w:color="auto"/>
        <w:bottom w:val="none" w:sz="0" w:space="0" w:color="auto"/>
        <w:right w:val="none" w:sz="0" w:space="0" w:color="auto"/>
      </w:divBdr>
    </w:div>
    <w:div w:id="909342568">
      <w:bodyDiv w:val="1"/>
      <w:marLeft w:val="0"/>
      <w:marRight w:val="0"/>
      <w:marTop w:val="0"/>
      <w:marBottom w:val="0"/>
      <w:divBdr>
        <w:top w:val="none" w:sz="0" w:space="0" w:color="auto"/>
        <w:left w:val="none" w:sz="0" w:space="0" w:color="auto"/>
        <w:bottom w:val="none" w:sz="0" w:space="0" w:color="auto"/>
        <w:right w:val="none" w:sz="0" w:space="0" w:color="auto"/>
      </w:divBdr>
    </w:div>
    <w:div w:id="909462788">
      <w:bodyDiv w:val="1"/>
      <w:marLeft w:val="0"/>
      <w:marRight w:val="0"/>
      <w:marTop w:val="0"/>
      <w:marBottom w:val="0"/>
      <w:divBdr>
        <w:top w:val="none" w:sz="0" w:space="0" w:color="auto"/>
        <w:left w:val="none" w:sz="0" w:space="0" w:color="auto"/>
        <w:bottom w:val="none" w:sz="0" w:space="0" w:color="auto"/>
        <w:right w:val="none" w:sz="0" w:space="0" w:color="auto"/>
      </w:divBdr>
    </w:div>
    <w:div w:id="910189108">
      <w:bodyDiv w:val="1"/>
      <w:marLeft w:val="0"/>
      <w:marRight w:val="0"/>
      <w:marTop w:val="0"/>
      <w:marBottom w:val="0"/>
      <w:divBdr>
        <w:top w:val="none" w:sz="0" w:space="0" w:color="auto"/>
        <w:left w:val="none" w:sz="0" w:space="0" w:color="auto"/>
        <w:bottom w:val="none" w:sz="0" w:space="0" w:color="auto"/>
        <w:right w:val="none" w:sz="0" w:space="0" w:color="auto"/>
      </w:divBdr>
    </w:div>
    <w:div w:id="912736426">
      <w:bodyDiv w:val="1"/>
      <w:marLeft w:val="0"/>
      <w:marRight w:val="0"/>
      <w:marTop w:val="0"/>
      <w:marBottom w:val="0"/>
      <w:divBdr>
        <w:top w:val="none" w:sz="0" w:space="0" w:color="auto"/>
        <w:left w:val="none" w:sz="0" w:space="0" w:color="auto"/>
        <w:bottom w:val="none" w:sz="0" w:space="0" w:color="auto"/>
        <w:right w:val="none" w:sz="0" w:space="0" w:color="auto"/>
      </w:divBdr>
    </w:div>
    <w:div w:id="914510492">
      <w:bodyDiv w:val="1"/>
      <w:marLeft w:val="0"/>
      <w:marRight w:val="0"/>
      <w:marTop w:val="0"/>
      <w:marBottom w:val="0"/>
      <w:divBdr>
        <w:top w:val="none" w:sz="0" w:space="0" w:color="auto"/>
        <w:left w:val="none" w:sz="0" w:space="0" w:color="auto"/>
        <w:bottom w:val="none" w:sz="0" w:space="0" w:color="auto"/>
        <w:right w:val="none" w:sz="0" w:space="0" w:color="auto"/>
      </w:divBdr>
    </w:div>
    <w:div w:id="919828211">
      <w:bodyDiv w:val="1"/>
      <w:marLeft w:val="0"/>
      <w:marRight w:val="0"/>
      <w:marTop w:val="0"/>
      <w:marBottom w:val="0"/>
      <w:divBdr>
        <w:top w:val="none" w:sz="0" w:space="0" w:color="auto"/>
        <w:left w:val="none" w:sz="0" w:space="0" w:color="auto"/>
        <w:bottom w:val="none" w:sz="0" w:space="0" w:color="auto"/>
        <w:right w:val="none" w:sz="0" w:space="0" w:color="auto"/>
      </w:divBdr>
    </w:div>
    <w:div w:id="919948688">
      <w:bodyDiv w:val="1"/>
      <w:marLeft w:val="0"/>
      <w:marRight w:val="0"/>
      <w:marTop w:val="0"/>
      <w:marBottom w:val="0"/>
      <w:divBdr>
        <w:top w:val="none" w:sz="0" w:space="0" w:color="auto"/>
        <w:left w:val="none" w:sz="0" w:space="0" w:color="auto"/>
        <w:bottom w:val="none" w:sz="0" w:space="0" w:color="auto"/>
        <w:right w:val="none" w:sz="0" w:space="0" w:color="auto"/>
      </w:divBdr>
    </w:div>
    <w:div w:id="920256699">
      <w:bodyDiv w:val="1"/>
      <w:marLeft w:val="0"/>
      <w:marRight w:val="0"/>
      <w:marTop w:val="0"/>
      <w:marBottom w:val="0"/>
      <w:divBdr>
        <w:top w:val="none" w:sz="0" w:space="0" w:color="auto"/>
        <w:left w:val="none" w:sz="0" w:space="0" w:color="auto"/>
        <w:bottom w:val="none" w:sz="0" w:space="0" w:color="auto"/>
        <w:right w:val="none" w:sz="0" w:space="0" w:color="auto"/>
      </w:divBdr>
    </w:div>
    <w:div w:id="925113019">
      <w:bodyDiv w:val="1"/>
      <w:marLeft w:val="0"/>
      <w:marRight w:val="0"/>
      <w:marTop w:val="0"/>
      <w:marBottom w:val="0"/>
      <w:divBdr>
        <w:top w:val="none" w:sz="0" w:space="0" w:color="auto"/>
        <w:left w:val="none" w:sz="0" w:space="0" w:color="auto"/>
        <w:bottom w:val="none" w:sz="0" w:space="0" w:color="auto"/>
        <w:right w:val="none" w:sz="0" w:space="0" w:color="auto"/>
      </w:divBdr>
    </w:div>
    <w:div w:id="927424240">
      <w:bodyDiv w:val="1"/>
      <w:marLeft w:val="0"/>
      <w:marRight w:val="0"/>
      <w:marTop w:val="0"/>
      <w:marBottom w:val="0"/>
      <w:divBdr>
        <w:top w:val="none" w:sz="0" w:space="0" w:color="auto"/>
        <w:left w:val="none" w:sz="0" w:space="0" w:color="auto"/>
        <w:bottom w:val="none" w:sz="0" w:space="0" w:color="auto"/>
        <w:right w:val="none" w:sz="0" w:space="0" w:color="auto"/>
      </w:divBdr>
    </w:div>
    <w:div w:id="927932014">
      <w:bodyDiv w:val="1"/>
      <w:marLeft w:val="0"/>
      <w:marRight w:val="0"/>
      <w:marTop w:val="0"/>
      <w:marBottom w:val="0"/>
      <w:divBdr>
        <w:top w:val="none" w:sz="0" w:space="0" w:color="auto"/>
        <w:left w:val="none" w:sz="0" w:space="0" w:color="auto"/>
        <w:bottom w:val="none" w:sz="0" w:space="0" w:color="auto"/>
        <w:right w:val="none" w:sz="0" w:space="0" w:color="auto"/>
      </w:divBdr>
    </w:div>
    <w:div w:id="929894669">
      <w:bodyDiv w:val="1"/>
      <w:marLeft w:val="0"/>
      <w:marRight w:val="0"/>
      <w:marTop w:val="0"/>
      <w:marBottom w:val="0"/>
      <w:divBdr>
        <w:top w:val="none" w:sz="0" w:space="0" w:color="auto"/>
        <w:left w:val="none" w:sz="0" w:space="0" w:color="auto"/>
        <w:bottom w:val="none" w:sz="0" w:space="0" w:color="auto"/>
        <w:right w:val="none" w:sz="0" w:space="0" w:color="auto"/>
      </w:divBdr>
    </w:div>
    <w:div w:id="930352921">
      <w:bodyDiv w:val="1"/>
      <w:marLeft w:val="0"/>
      <w:marRight w:val="0"/>
      <w:marTop w:val="0"/>
      <w:marBottom w:val="0"/>
      <w:divBdr>
        <w:top w:val="none" w:sz="0" w:space="0" w:color="auto"/>
        <w:left w:val="none" w:sz="0" w:space="0" w:color="auto"/>
        <w:bottom w:val="none" w:sz="0" w:space="0" w:color="auto"/>
        <w:right w:val="none" w:sz="0" w:space="0" w:color="auto"/>
      </w:divBdr>
    </w:div>
    <w:div w:id="931011457">
      <w:bodyDiv w:val="1"/>
      <w:marLeft w:val="0"/>
      <w:marRight w:val="0"/>
      <w:marTop w:val="0"/>
      <w:marBottom w:val="0"/>
      <w:divBdr>
        <w:top w:val="none" w:sz="0" w:space="0" w:color="auto"/>
        <w:left w:val="none" w:sz="0" w:space="0" w:color="auto"/>
        <w:bottom w:val="none" w:sz="0" w:space="0" w:color="auto"/>
        <w:right w:val="none" w:sz="0" w:space="0" w:color="auto"/>
      </w:divBdr>
    </w:div>
    <w:div w:id="931350761">
      <w:bodyDiv w:val="1"/>
      <w:marLeft w:val="0"/>
      <w:marRight w:val="0"/>
      <w:marTop w:val="0"/>
      <w:marBottom w:val="0"/>
      <w:divBdr>
        <w:top w:val="none" w:sz="0" w:space="0" w:color="auto"/>
        <w:left w:val="none" w:sz="0" w:space="0" w:color="auto"/>
        <w:bottom w:val="none" w:sz="0" w:space="0" w:color="auto"/>
        <w:right w:val="none" w:sz="0" w:space="0" w:color="auto"/>
      </w:divBdr>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934091976">
      <w:bodyDiv w:val="1"/>
      <w:marLeft w:val="0"/>
      <w:marRight w:val="0"/>
      <w:marTop w:val="0"/>
      <w:marBottom w:val="0"/>
      <w:divBdr>
        <w:top w:val="none" w:sz="0" w:space="0" w:color="auto"/>
        <w:left w:val="none" w:sz="0" w:space="0" w:color="auto"/>
        <w:bottom w:val="none" w:sz="0" w:space="0" w:color="auto"/>
        <w:right w:val="none" w:sz="0" w:space="0" w:color="auto"/>
      </w:divBdr>
    </w:div>
    <w:div w:id="935867385">
      <w:bodyDiv w:val="1"/>
      <w:marLeft w:val="0"/>
      <w:marRight w:val="0"/>
      <w:marTop w:val="0"/>
      <w:marBottom w:val="0"/>
      <w:divBdr>
        <w:top w:val="none" w:sz="0" w:space="0" w:color="auto"/>
        <w:left w:val="none" w:sz="0" w:space="0" w:color="auto"/>
        <w:bottom w:val="none" w:sz="0" w:space="0" w:color="auto"/>
        <w:right w:val="none" w:sz="0" w:space="0" w:color="auto"/>
      </w:divBdr>
    </w:div>
    <w:div w:id="936328622">
      <w:bodyDiv w:val="1"/>
      <w:marLeft w:val="0"/>
      <w:marRight w:val="0"/>
      <w:marTop w:val="0"/>
      <w:marBottom w:val="0"/>
      <w:divBdr>
        <w:top w:val="none" w:sz="0" w:space="0" w:color="auto"/>
        <w:left w:val="none" w:sz="0" w:space="0" w:color="auto"/>
        <w:bottom w:val="none" w:sz="0" w:space="0" w:color="auto"/>
        <w:right w:val="none" w:sz="0" w:space="0" w:color="auto"/>
      </w:divBdr>
    </w:div>
    <w:div w:id="936444609">
      <w:bodyDiv w:val="1"/>
      <w:marLeft w:val="0"/>
      <w:marRight w:val="0"/>
      <w:marTop w:val="0"/>
      <w:marBottom w:val="0"/>
      <w:divBdr>
        <w:top w:val="none" w:sz="0" w:space="0" w:color="auto"/>
        <w:left w:val="none" w:sz="0" w:space="0" w:color="auto"/>
        <w:bottom w:val="none" w:sz="0" w:space="0" w:color="auto"/>
        <w:right w:val="none" w:sz="0" w:space="0" w:color="auto"/>
      </w:divBdr>
    </w:div>
    <w:div w:id="944114374">
      <w:bodyDiv w:val="1"/>
      <w:marLeft w:val="0"/>
      <w:marRight w:val="0"/>
      <w:marTop w:val="0"/>
      <w:marBottom w:val="0"/>
      <w:divBdr>
        <w:top w:val="none" w:sz="0" w:space="0" w:color="auto"/>
        <w:left w:val="none" w:sz="0" w:space="0" w:color="auto"/>
        <w:bottom w:val="none" w:sz="0" w:space="0" w:color="auto"/>
        <w:right w:val="none" w:sz="0" w:space="0" w:color="auto"/>
      </w:divBdr>
    </w:div>
    <w:div w:id="944967386">
      <w:bodyDiv w:val="1"/>
      <w:marLeft w:val="0"/>
      <w:marRight w:val="0"/>
      <w:marTop w:val="0"/>
      <w:marBottom w:val="0"/>
      <w:divBdr>
        <w:top w:val="none" w:sz="0" w:space="0" w:color="auto"/>
        <w:left w:val="none" w:sz="0" w:space="0" w:color="auto"/>
        <w:bottom w:val="none" w:sz="0" w:space="0" w:color="auto"/>
        <w:right w:val="none" w:sz="0" w:space="0" w:color="auto"/>
      </w:divBdr>
    </w:div>
    <w:div w:id="946891078">
      <w:bodyDiv w:val="1"/>
      <w:marLeft w:val="0"/>
      <w:marRight w:val="0"/>
      <w:marTop w:val="0"/>
      <w:marBottom w:val="0"/>
      <w:divBdr>
        <w:top w:val="none" w:sz="0" w:space="0" w:color="auto"/>
        <w:left w:val="none" w:sz="0" w:space="0" w:color="auto"/>
        <w:bottom w:val="none" w:sz="0" w:space="0" w:color="auto"/>
        <w:right w:val="none" w:sz="0" w:space="0" w:color="auto"/>
      </w:divBdr>
    </w:div>
    <w:div w:id="948976439">
      <w:bodyDiv w:val="1"/>
      <w:marLeft w:val="0"/>
      <w:marRight w:val="0"/>
      <w:marTop w:val="0"/>
      <w:marBottom w:val="0"/>
      <w:divBdr>
        <w:top w:val="none" w:sz="0" w:space="0" w:color="auto"/>
        <w:left w:val="none" w:sz="0" w:space="0" w:color="auto"/>
        <w:bottom w:val="none" w:sz="0" w:space="0" w:color="auto"/>
        <w:right w:val="none" w:sz="0" w:space="0" w:color="auto"/>
      </w:divBdr>
    </w:div>
    <w:div w:id="949626010">
      <w:bodyDiv w:val="1"/>
      <w:marLeft w:val="0"/>
      <w:marRight w:val="0"/>
      <w:marTop w:val="0"/>
      <w:marBottom w:val="0"/>
      <w:divBdr>
        <w:top w:val="none" w:sz="0" w:space="0" w:color="auto"/>
        <w:left w:val="none" w:sz="0" w:space="0" w:color="auto"/>
        <w:bottom w:val="none" w:sz="0" w:space="0" w:color="auto"/>
        <w:right w:val="none" w:sz="0" w:space="0" w:color="auto"/>
      </w:divBdr>
    </w:div>
    <w:div w:id="949971089">
      <w:bodyDiv w:val="1"/>
      <w:marLeft w:val="0"/>
      <w:marRight w:val="0"/>
      <w:marTop w:val="0"/>
      <w:marBottom w:val="0"/>
      <w:divBdr>
        <w:top w:val="none" w:sz="0" w:space="0" w:color="auto"/>
        <w:left w:val="none" w:sz="0" w:space="0" w:color="auto"/>
        <w:bottom w:val="none" w:sz="0" w:space="0" w:color="auto"/>
        <w:right w:val="none" w:sz="0" w:space="0" w:color="auto"/>
      </w:divBdr>
    </w:div>
    <w:div w:id="954598332">
      <w:bodyDiv w:val="1"/>
      <w:marLeft w:val="0"/>
      <w:marRight w:val="0"/>
      <w:marTop w:val="0"/>
      <w:marBottom w:val="0"/>
      <w:divBdr>
        <w:top w:val="none" w:sz="0" w:space="0" w:color="auto"/>
        <w:left w:val="none" w:sz="0" w:space="0" w:color="auto"/>
        <w:bottom w:val="none" w:sz="0" w:space="0" w:color="auto"/>
        <w:right w:val="none" w:sz="0" w:space="0" w:color="auto"/>
      </w:divBdr>
    </w:div>
    <w:div w:id="955721168">
      <w:bodyDiv w:val="1"/>
      <w:marLeft w:val="0"/>
      <w:marRight w:val="0"/>
      <w:marTop w:val="0"/>
      <w:marBottom w:val="0"/>
      <w:divBdr>
        <w:top w:val="none" w:sz="0" w:space="0" w:color="auto"/>
        <w:left w:val="none" w:sz="0" w:space="0" w:color="auto"/>
        <w:bottom w:val="none" w:sz="0" w:space="0" w:color="auto"/>
        <w:right w:val="none" w:sz="0" w:space="0" w:color="auto"/>
      </w:divBdr>
    </w:div>
    <w:div w:id="956763168">
      <w:bodyDiv w:val="1"/>
      <w:marLeft w:val="0"/>
      <w:marRight w:val="0"/>
      <w:marTop w:val="0"/>
      <w:marBottom w:val="0"/>
      <w:divBdr>
        <w:top w:val="none" w:sz="0" w:space="0" w:color="auto"/>
        <w:left w:val="none" w:sz="0" w:space="0" w:color="auto"/>
        <w:bottom w:val="none" w:sz="0" w:space="0" w:color="auto"/>
        <w:right w:val="none" w:sz="0" w:space="0" w:color="auto"/>
      </w:divBdr>
    </w:div>
    <w:div w:id="957104411">
      <w:bodyDiv w:val="1"/>
      <w:marLeft w:val="0"/>
      <w:marRight w:val="0"/>
      <w:marTop w:val="0"/>
      <w:marBottom w:val="0"/>
      <w:divBdr>
        <w:top w:val="none" w:sz="0" w:space="0" w:color="auto"/>
        <w:left w:val="none" w:sz="0" w:space="0" w:color="auto"/>
        <w:bottom w:val="none" w:sz="0" w:space="0" w:color="auto"/>
        <w:right w:val="none" w:sz="0" w:space="0" w:color="auto"/>
      </w:divBdr>
    </w:div>
    <w:div w:id="966355473">
      <w:bodyDiv w:val="1"/>
      <w:marLeft w:val="0"/>
      <w:marRight w:val="0"/>
      <w:marTop w:val="0"/>
      <w:marBottom w:val="0"/>
      <w:divBdr>
        <w:top w:val="none" w:sz="0" w:space="0" w:color="auto"/>
        <w:left w:val="none" w:sz="0" w:space="0" w:color="auto"/>
        <w:bottom w:val="none" w:sz="0" w:space="0" w:color="auto"/>
        <w:right w:val="none" w:sz="0" w:space="0" w:color="auto"/>
      </w:divBdr>
    </w:div>
    <w:div w:id="970937720">
      <w:bodyDiv w:val="1"/>
      <w:marLeft w:val="0"/>
      <w:marRight w:val="0"/>
      <w:marTop w:val="0"/>
      <w:marBottom w:val="0"/>
      <w:divBdr>
        <w:top w:val="none" w:sz="0" w:space="0" w:color="auto"/>
        <w:left w:val="none" w:sz="0" w:space="0" w:color="auto"/>
        <w:bottom w:val="none" w:sz="0" w:space="0" w:color="auto"/>
        <w:right w:val="none" w:sz="0" w:space="0" w:color="auto"/>
      </w:divBdr>
    </w:div>
    <w:div w:id="974455403">
      <w:bodyDiv w:val="1"/>
      <w:marLeft w:val="0"/>
      <w:marRight w:val="0"/>
      <w:marTop w:val="0"/>
      <w:marBottom w:val="0"/>
      <w:divBdr>
        <w:top w:val="none" w:sz="0" w:space="0" w:color="auto"/>
        <w:left w:val="none" w:sz="0" w:space="0" w:color="auto"/>
        <w:bottom w:val="none" w:sz="0" w:space="0" w:color="auto"/>
        <w:right w:val="none" w:sz="0" w:space="0" w:color="auto"/>
      </w:divBdr>
    </w:div>
    <w:div w:id="974946100">
      <w:bodyDiv w:val="1"/>
      <w:marLeft w:val="0"/>
      <w:marRight w:val="0"/>
      <w:marTop w:val="0"/>
      <w:marBottom w:val="0"/>
      <w:divBdr>
        <w:top w:val="none" w:sz="0" w:space="0" w:color="auto"/>
        <w:left w:val="none" w:sz="0" w:space="0" w:color="auto"/>
        <w:bottom w:val="none" w:sz="0" w:space="0" w:color="auto"/>
        <w:right w:val="none" w:sz="0" w:space="0" w:color="auto"/>
      </w:divBdr>
    </w:div>
    <w:div w:id="976493130">
      <w:bodyDiv w:val="1"/>
      <w:marLeft w:val="0"/>
      <w:marRight w:val="0"/>
      <w:marTop w:val="0"/>
      <w:marBottom w:val="0"/>
      <w:divBdr>
        <w:top w:val="none" w:sz="0" w:space="0" w:color="auto"/>
        <w:left w:val="none" w:sz="0" w:space="0" w:color="auto"/>
        <w:bottom w:val="none" w:sz="0" w:space="0" w:color="auto"/>
        <w:right w:val="none" w:sz="0" w:space="0" w:color="auto"/>
      </w:divBdr>
    </w:div>
    <w:div w:id="977953146">
      <w:bodyDiv w:val="1"/>
      <w:marLeft w:val="0"/>
      <w:marRight w:val="0"/>
      <w:marTop w:val="0"/>
      <w:marBottom w:val="0"/>
      <w:divBdr>
        <w:top w:val="none" w:sz="0" w:space="0" w:color="auto"/>
        <w:left w:val="none" w:sz="0" w:space="0" w:color="auto"/>
        <w:bottom w:val="none" w:sz="0" w:space="0" w:color="auto"/>
        <w:right w:val="none" w:sz="0" w:space="0" w:color="auto"/>
      </w:divBdr>
    </w:div>
    <w:div w:id="981348650">
      <w:bodyDiv w:val="1"/>
      <w:marLeft w:val="0"/>
      <w:marRight w:val="0"/>
      <w:marTop w:val="0"/>
      <w:marBottom w:val="0"/>
      <w:divBdr>
        <w:top w:val="none" w:sz="0" w:space="0" w:color="auto"/>
        <w:left w:val="none" w:sz="0" w:space="0" w:color="auto"/>
        <w:bottom w:val="none" w:sz="0" w:space="0" w:color="auto"/>
        <w:right w:val="none" w:sz="0" w:space="0" w:color="auto"/>
      </w:divBdr>
    </w:div>
    <w:div w:id="983004126">
      <w:bodyDiv w:val="1"/>
      <w:marLeft w:val="0"/>
      <w:marRight w:val="0"/>
      <w:marTop w:val="0"/>
      <w:marBottom w:val="0"/>
      <w:divBdr>
        <w:top w:val="none" w:sz="0" w:space="0" w:color="auto"/>
        <w:left w:val="none" w:sz="0" w:space="0" w:color="auto"/>
        <w:bottom w:val="none" w:sz="0" w:space="0" w:color="auto"/>
        <w:right w:val="none" w:sz="0" w:space="0" w:color="auto"/>
      </w:divBdr>
    </w:div>
    <w:div w:id="983461082">
      <w:bodyDiv w:val="1"/>
      <w:marLeft w:val="0"/>
      <w:marRight w:val="0"/>
      <w:marTop w:val="0"/>
      <w:marBottom w:val="0"/>
      <w:divBdr>
        <w:top w:val="none" w:sz="0" w:space="0" w:color="auto"/>
        <w:left w:val="none" w:sz="0" w:space="0" w:color="auto"/>
        <w:bottom w:val="none" w:sz="0" w:space="0" w:color="auto"/>
        <w:right w:val="none" w:sz="0" w:space="0" w:color="auto"/>
      </w:divBdr>
    </w:div>
    <w:div w:id="984352052">
      <w:bodyDiv w:val="1"/>
      <w:marLeft w:val="0"/>
      <w:marRight w:val="0"/>
      <w:marTop w:val="0"/>
      <w:marBottom w:val="0"/>
      <w:divBdr>
        <w:top w:val="none" w:sz="0" w:space="0" w:color="auto"/>
        <w:left w:val="none" w:sz="0" w:space="0" w:color="auto"/>
        <w:bottom w:val="none" w:sz="0" w:space="0" w:color="auto"/>
        <w:right w:val="none" w:sz="0" w:space="0" w:color="auto"/>
      </w:divBdr>
    </w:div>
    <w:div w:id="984823798">
      <w:bodyDiv w:val="1"/>
      <w:marLeft w:val="0"/>
      <w:marRight w:val="0"/>
      <w:marTop w:val="0"/>
      <w:marBottom w:val="0"/>
      <w:divBdr>
        <w:top w:val="none" w:sz="0" w:space="0" w:color="auto"/>
        <w:left w:val="none" w:sz="0" w:space="0" w:color="auto"/>
        <w:bottom w:val="none" w:sz="0" w:space="0" w:color="auto"/>
        <w:right w:val="none" w:sz="0" w:space="0" w:color="auto"/>
      </w:divBdr>
    </w:div>
    <w:div w:id="984895095">
      <w:bodyDiv w:val="1"/>
      <w:marLeft w:val="0"/>
      <w:marRight w:val="0"/>
      <w:marTop w:val="0"/>
      <w:marBottom w:val="0"/>
      <w:divBdr>
        <w:top w:val="none" w:sz="0" w:space="0" w:color="auto"/>
        <w:left w:val="none" w:sz="0" w:space="0" w:color="auto"/>
        <w:bottom w:val="none" w:sz="0" w:space="0" w:color="auto"/>
        <w:right w:val="none" w:sz="0" w:space="0" w:color="auto"/>
      </w:divBdr>
    </w:div>
    <w:div w:id="985429166">
      <w:bodyDiv w:val="1"/>
      <w:marLeft w:val="0"/>
      <w:marRight w:val="0"/>
      <w:marTop w:val="0"/>
      <w:marBottom w:val="0"/>
      <w:divBdr>
        <w:top w:val="none" w:sz="0" w:space="0" w:color="auto"/>
        <w:left w:val="none" w:sz="0" w:space="0" w:color="auto"/>
        <w:bottom w:val="none" w:sz="0" w:space="0" w:color="auto"/>
        <w:right w:val="none" w:sz="0" w:space="0" w:color="auto"/>
      </w:divBdr>
    </w:div>
    <w:div w:id="987782258">
      <w:bodyDiv w:val="1"/>
      <w:marLeft w:val="0"/>
      <w:marRight w:val="0"/>
      <w:marTop w:val="0"/>
      <w:marBottom w:val="0"/>
      <w:divBdr>
        <w:top w:val="none" w:sz="0" w:space="0" w:color="auto"/>
        <w:left w:val="none" w:sz="0" w:space="0" w:color="auto"/>
        <w:bottom w:val="none" w:sz="0" w:space="0" w:color="auto"/>
        <w:right w:val="none" w:sz="0" w:space="0" w:color="auto"/>
      </w:divBdr>
    </w:div>
    <w:div w:id="988439815">
      <w:bodyDiv w:val="1"/>
      <w:marLeft w:val="0"/>
      <w:marRight w:val="0"/>
      <w:marTop w:val="0"/>
      <w:marBottom w:val="0"/>
      <w:divBdr>
        <w:top w:val="none" w:sz="0" w:space="0" w:color="auto"/>
        <w:left w:val="none" w:sz="0" w:space="0" w:color="auto"/>
        <w:bottom w:val="none" w:sz="0" w:space="0" w:color="auto"/>
        <w:right w:val="none" w:sz="0" w:space="0" w:color="auto"/>
      </w:divBdr>
    </w:div>
    <w:div w:id="988939658">
      <w:bodyDiv w:val="1"/>
      <w:marLeft w:val="0"/>
      <w:marRight w:val="0"/>
      <w:marTop w:val="0"/>
      <w:marBottom w:val="0"/>
      <w:divBdr>
        <w:top w:val="none" w:sz="0" w:space="0" w:color="auto"/>
        <w:left w:val="none" w:sz="0" w:space="0" w:color="auto"/>
        <w:bottom w:val="none" w:sz="0" w:space="0" w:color="auto"/>
        <w:right w:val="none" w:sz="0" w:space="0" w:color="auto"/>
      </w:divBdr>
    </w:div>
    <w:div w:id="990331819">
      <w:bodyDiv w:val="1"/>
      <w:marLeft w:val="0"/>
      <w:marRight w:val="0"/>
      <w:marTop w:val="0"/>
      <w:marBottom w:val="0"/>
      <w:divBdr>
        <w:top w:val="none" w:sz="0" w:space="0" w:color="auto"/>
        <w:left w:val="none" w:sz="0" w:space="0" w:color="auto"/>
        <w:bottom w:val="none" w:sz="0" w:space="0" w:color="auto"/>
        <w:right w:val="none" w:sz="0" w:space="0" w:color="auto"/>
      </w:divBdr>
    </w:div>
    <w:div w:id="991913718">
      <w:bodyDiv w:val="1"/>
      <w:marLeft w:val="0"/>
      <w:marRight w:val="0"/>
      <w:marTop w:val="0"/>
      <w:marBottom w:val="0"/>
      <w:divBdr>
        <w:top w:val="none" w:sz="0" w:space="0" w:color="auto"/>
        <w:left w:val="none" w:sz="0" w:space="0" w:color="auto"/>
        <w:bottom w:val="none" w:sz="0" w:space="0" w:color="auto"/>
        <w:right w:val="none" w:sz="0" w:space="0" w:color="auto"/>
      </w:divBdr>
    </w:div>
    <w:div w:id="993946946">
      <w:bodyDiv w:val="1"/>
      <w:marLeft w:val="0"/>
      <w:marRight w:val="0"/>
      <w:marTop w:val="0"/>
      <w:marBottom w:val="0"/>
      <w:divBdr>
        <w:top w:val="none" w:sz="0" w:space="0" w:color="auto"/>
        <w:left w:val="none" w:sz="0" w:space="0" w:color="auto"/>
        <w:bottom w:val="none" w:sz="0" w:space="0" w:color="auto"/>
        <w:right w:val="none" w:sz="0" w:space="0" w:color="auto"/>
      </w:divBdr>
    </w:div>
    <w:div w:id="998077016">
      <w:bodyDiv w:val="1"/>
      <w:marLeft w:val="0"/>
      <w:marRight w:val="0"/>
      <w:marTop w:val="0"/>
      <w:marBottom w:val="0"/>
      <w:divBdr>
        <w:top w:val="none" w:sz="0" w:space="0" w:color="auto"/>
        <w:left w:val="none" w:sz="0" w:space="0" w:color="auto"/>
        <w:bottom w:val="none" w:sz="0" w:space="0" w:color="auto"/>
        <w:right w:val="none" w:sz="0" w:space="0" w:color="auto"/>
      </w:divBdr>
    </w:div>
    <w:div w:id="1005980325">
      <w:bodyDiv w:val="1"/>
      <w:marLeft w:val="0"/>
      <w:marRight w:val="0"/>
      <w:marTop w:val="0"/>
      <w:marBottom w:val="0"/>
      <w:divBdr>
        <w:top w:val="none" w:sz="0" w:space="0" w:color="auto"/>
        <w:left w:val="none" w:sz="0" w:space="0" w:color="auto"/>
        <w:bottom w:val="none" w:sz="0" w:space="0" w:color="auto"/>
        <w:right w:val="none" w:sz="0" w:space="0" w:color="auto"/>
      </w:divBdr>
    </w:div>
    <w:div w:id="1007438940">
      <w:bodyDiv w:val="1"/>
      <w:marLeft w:val="0"/>
      <w:marRight w:val="0"/>
      <w:marTop w:val="0"/>
      <w:marBottom w:val="0"/>
      <w:divBdr>
        <w:top w:val="none" w:sz="0" w:space="0" w:color="auto"/>
        <w:left w:val="none" w:sz="0" w:space="0" w:color="auto"/>
        <w:bottom w:val="none" w:sz="0" w:space="0" w:color="auto"/>
        <w:right w:val="none" w:sz="0" w:space="0" w:color="auto"/>
      </w:divBdr>
    </w:div>
    <w:div w:id="1008479334">
      <w:bodyDiv w:val="1"/>
      <w:marLeft w:val="0"/>
      <w:marRight w:val="0"/>
      <w:marTop w:val="0"/>
      <w:marBottom w:val="0"/>
      <w:divBdr>
        <w:top w:val="none" w:sz="0" w:space="0" w:color="auto"/>
        <w:left w:val="none" w:sz="0" w:space="0" w:color="auto"/>
        <w:bottom w:val="none" w:sz="0" w:space="0" w:color="auto"/>
        <w:right w:val="none" w:sz="0" w:space="0" w:color="auto"/>
      </w:divBdr>
    </w:div>
    <w:div w:id="1009403563">
      <w:bodyDiv w:val="1"/>
      <w:marLeft w:val="0"/>
      <w:marRight w:val="0"/>
      <w:marTop w:val="0"/>
      <w:marBottom w:val="0"/>
      <w:divBdr>
        <w:top w:val="none" w:sz="0" w:space="0" w:color="auto"/>
        <w:left w:val="none" w:sz="0" w:space="0" w:color="auto"/>
        <w:bottom w:val="none" w:sz="0" w:space="0" w:color="auto"/>
        <w:right w:val="none" w:sz="0" w:space="0" w:color="auto"/>
      </w:divBdr>
    </w:div>
    <w:div w:id="1011223351">
      <w:bodyDiv w:val="1"/>
      <w:marLeft w:val="0"/>
      <w:marRight w:val="0"/>
      <w:marTop w:val="0"/>
      <w:marBottom w:val="0"/>
      <w:divBdr>
        <w:top w:val="none" w:sz="0" w:space="0" w:color="auto"/>
        <w:left w:val="none" w:sz="0" w:space="0" w:color="auto"/>
        <w:bottom w:val="none" w:sz="0" w:space="0" w:color="auto"/>
        <w:right w:val="none" w:sz="0" w:space="0" w:color="auto"/>
      </w:divBdr>
    </w:div>
    <w:div w:id="1012100332">
      <w:bodyDiv w:val="1"/>
      <w:marLeft w:val="0"/>
      <w:marRight w:val="0"/>
      <w:marTop w:val="0"/>
      <w:marBottom w:val="0"/>
      <w:divBdr>
        <w:top w:val="none" w:sz="0" w:space="0" w:color="auto"/>
        <w:left w:val="none" w:sz="0" w:space="0" w:color="auto"/>
        <w:bottom w:val="none" w:sz="0" w:space="0" w:color="auto"/>
        <w:right w:val="none" w:sz="0" w:space="0" w:color="auto"/>
      </w:divBdr>
    </w:div>
    <w:div w:id="1016931482">
      <w:bodyDiv w:val="1"/>
      <w:marLeft w:val="0"/>
      <w:marRight w:val="0"/>
      <w:marTop w:val="0"/>
      <w:marBottom w:val="0"/>
      <w:divBdr>
        <w:top w:val="none" w:sz="0" w:space="0" w:color="auto"/>
        <w:left w:val="none" w:sz="0" w:space="0" w:color="auto"/>
        <w:bottom w:val="none" w:sz="0" w:space="0" w:color="auto"/>
        <w:right w:val="none" w:sz="0" w:space="0" w:color="auto"/>
      </w:divBdr>
    </w:div>
    <w:div w:id="1019115894">
      <w:bodyDiv w:val="1"/>
      <w:marLeft w:val="0"/>
      <w:marRight w:val="0"/>
      <w:marTop w:val="0"/>
      <w:marBottom w:val="0"/>
      <w:divBdr>
        <w:top w:val="none" w:sz="0" w:space="0" w:color="auto"/>
        <w:left w:val="none" w:sz="0" w:space="0" w:color="auto"/>
        <w:bottom w:val="none" w:sz="0" w:space="0" w:color="auto"/>
        <w:right w:val="none" w:sz="0" w:space="0" w:color="auto"/>
      </w:divBdr>
    </w:div>
    <w:div w:id="1019307723">
      <w:bodyDiv w:val="1"/>
      <w:marLeft w:val="0"/>
      <w:marRight w:val="0"/>
      <w:marTop w:val="0"/>
      <w:marBottom w:val="0"/>
      <w:divBdr>
        <w:top w:val="none" w:sz="0" w:space="0" w:color="auto"/>
        <w:left w:val="none" w:sz="0" w:space="0" w:color="auto"/>
        <w:bottom w:val="none" w:sz="0" w:space="0" w:color="auto"/>
        <w:right w:val="none" w:sz="0" w:space="0" w:color="auto"/>
      </w:divBdr>
    </w:div>
    <w:div w:id="1024793093">
      <w:bodyDiv w:val="1"/>
      <w:marLeft w:val="0"/>
      <w:marRight w:val="0"/>
      <w:marTop w:val="0"/>
      <w:marBottom w:val="0"/>
      <w:divBdr>
        <w:top w:val="none" w:sz="0" w:space="0" w:color="auto"/>
        <w:left w:val="none" w:sz="0" w:space="0" w:color="auto"/>
        <w:bottom w:val="none" w:sz="0" w:space="0" w:color="auto"/>
        <w:right w:val="none" w:sz="0" w:space="0" w:color="auto"/>
      </w:divBdr>
    </w:div>
    <w:div w:id="1025181006">
      <w:bodyDiv w:val="1"/>
      <w:marLeft w:val="0"/>
      <w:marRight w:val="0"/>
      <w:marTop w:val="0"/>
      <w:marBottom w:val="0"/>
      <w:divBdr>
        <w:top w:val="none" w:sz="0" w:space="0" w:color="auto"/>
        <w:left w:val="none" w:sz="0" w:space="0" w:color="auto"/>
        <w:bottom w:val="none" w:sz="0" w:space="0" w:color="auto"/>
        <w:right w:val="none" w:sz="0" w:space="0" w:color="auto"/>
      </w:divBdr>
    </w:div>
    <w:div w:id="1027756280">
      <w:bodyDiv w:val="1"/>
      <w:marLeft w:val="0"/>
      <w:marRight w:val="0"/>
      <w:marTop w:val="0"/>
      <w:marBottom w:val="0"/>
      <w:divBdr>
        <w:top w:val="none" w:sz="0" w:space="0" w:color="auto"/>
        <w:left w:val="none" w:sz="0" w:space="0" w:color="auto"/>
        <w:bottom w:val="none" w:sz="0" w:space="0" w:color="auto"/>
        <w:right w:val="none" w:sz="0" w:space="0" w:color="auto"/>
      </w:divBdr>
    </w:div>
    <w:div w:id="1031342492">
      <w:bodyDiv w:val="1"/>
      <w:marLeft w:val="0"/>
      <w:marRight w:val="0"/>
      <w:marTop w:val="0"/>
      <w:marBottom w:val="0"/>
      <w:divBdr>
        <w:top w:val="none" w:sz="0" w:space="0" w:color="auto"/>
        <w:left w:val="none" w:sz="0" w:space="0" w:color="auto"/>
        <w:bottom w:val="none" w:sz="0" w:space="0" w:color="auto"/>
        <w:right w:val="none" w:sz="0" w:space="0" w:color="auto"/>
      </w:divBdr>
    </w:div>
    <w:div w:id="1031682372">
      <w:bodyDiv w:val="1"/>
      <w:marLeft w:val="0"/>
      <w:marRight w:val="0"/>
      <w:marTop w:val="0"/>
      <w:marBottom w:val="0"/>
      <w:divBdr>
        <w:top w:val="none" w:sz="0" w:space="0" w:color="auto"/>
        <w:left w:val="none" w:sz="0" w:space="0" w:color="auto"/>
        <w:bottom w:val="none" w:sz="0" w:space="0" w:color="auto"/>
        <w:right w:val="none" w:sz="0" w:space="0" w:color="auto"/>
      </w:divBdr>
    </w:div>
    <w:div w:id="1033307527">
      <w:bodyDiv w:val="1"/>
      <w:marLeft w:val="0"/>
      <w:marRight w:val="0"/>
      <w:marTop w:val="0"/>
      <w:marBottom w:val="0"/>
      <w:divBdr>
        <w:top w:val="none" w:sz="0" w:space="0" w:color="auto"/>
        <w:left w:val="none" w:sz="0" w:space="0" w:color="auto"/>
        <w:bottom w:val="none" w:sz="0" w:space="0" w:color="auto"/>
        <w:right w:val="none" w:sz="0" w:space="0" w:color="auto"/>
      </w:divBdr>
    </w:div>
    <w:div w:id="1033386849">
      <w:bodyDiv w:val="1"/>
      <w:marLeft w:val="0"/>
      <w:marRight w:val="0"/>
      <w:marTop w:val="0"/>
      <w:marBottom w:val="0"/>
      <w:divBdr>
        <w:top w:val="none" w:sz="0" w:space="0" w:color="auto"/>
        <w:left w:val="none" w:sz="0" w:space="0" w:color="auto"/>
        <w:bottom w:val="none" w:sz="0" w:space="0" w:color="auto"/>
        <w:right w:val="none" w:sz="0" w:space="0" w:color="auto"/>
      </w:divBdr>
    </w:div>
    <w:div w:id="1034118368">
      <w:bodyDiv w:val="1"/>
      <w:marLeft w:val="0"/>
      <w:marRight w:val="0"/>
      <w:marTop w:val="0"/>
      <w:marBottom w:val="0"/>
      <w:divBdr>
        <w:top w:val="none" w:sz="0" w:space="0" w:color="auto"/>
        <w:left w:val="none" w:sz="0" w:space="0" w:color="auto"/>
        <w:bottom w:val="none" w:sz="0" w:space="0" w:color="auto"/>
        <w:right w:val="none" w:sz="0" w:space="0" w:color="auto"/>
      </w:divBdr>
    </w:div>
    <w:div w:id="1036731283">
      <w:bodyDiv w:val="1"/>
      <w:marLeft w:val="0"/>
      <w:marRight w:val="0"/>
      <w:marTop w:val="0"/>
      <w:marBottom w:val="0"/>
      <w:divBdr>
        <w:top w:val="none" w:sz="0" w:space="0" w:color="auto"/>
        <w:left w:val="none" w:sz="0" w:space="0" w:color="auto"/>
        <w:bottom w:val="none" w:sz="0" w:space="0" w:color="auto"/>
        <w:right w:val="none" w:sz="0" w:space="0" w:color="auto"/>
      </w:divBdr>
    </w:div>
    <w:div w:id="1037005162">
      <w:bodyDiv w:val="1"/>
      <w:marLeft w:val="0"/>
      <w:marRight w:val="0"/>
      <w:marTop w:val="0"/>
      <w:marBottom w:val="0"/>
      <w:divBdr>
        <w:top w:val="none" w:sz="0" w:space="0" w:color="auto"/>
        <w:left w:val="none" w:sz="0" w:space="0" w:color="auto"/>
        <w:bottom w:val="none" w:sz="0" w:space="0" w:color="auto"/>
        <w:right w:val="none" w:sz="0" w:space="0" w:color="auto"/>
      </w:divBdr>
    </w:div>
    <w:div w:id="1040974811">
      <w:bodyDiv w:val="1"/>
      <w:marLeft w:val="0"/>
      <w:marRight w:val="0"/>
      <w:marTop w:val="0"/>
      <w:marBottom w:val="0"/>
      <w:divBdr>
        <w:top w:val="none" w:sz="0" w:space="0" w:color="auto"/>
        <w:left w:val="none" w:sz="0" w:space="0" w:color="auto"/>
        <w:bottom w:val="none" w:sz="0" w:space="0" w:color="auto"/>
        <w:right w:val="none" w:sz="0" w:space="0" w:color="auto"/>
      </w:divBdr>
    </w:div>
    <w:div w:id="1043290789">
      <w:bodyDiv w:val="1"/>
      <w:marLeft w:val="0"/>
      <w:marRight w:val="0"/>
      <w:marTop w:val="0"/>
      <w:marBottom w:val="0"/>
      <w:divBdr>
        <w:top w:val="none" w:sz="0" w:space="0" w:color="auto"/>
        <w:left w:val="none" w:sz="0" w:space="0" w:color="auto"/>
        <w:bottom w:val="none" w:sz="0" w:space="0" w:color="auto"/>
        <w:right w:val="none" w:sz="0" w:space="0" w:color="auto"/>
      </w:divBdr>
    </w:div>
    <w:div w:id="1044671565">
      <w:bodyDiv w:val="1"/>
      <w:marLeft w:val="0"/>
      <w:marRight w:val="0"/>
      <w:marTop w:val="0"/>
      <w:marBottom w:val="0"/>
      <w:divBdr>
        <w:top w:val="none" w:sz="0" w:space="0" w:color="auto"/>
        <w:left w:val="none" w:sz="0" w:space="0" w:color="auto"/>
        <w:bottom w:val="none" w:sz="0" w:space="0" w:color="auto"/>
        <w:right w:val="none" w:sz="0" w:space="0" w:color="auto"/>
      </w:divBdr>
    </w:div>
    <w:div w:id="1048460098">
      <w:bodyDiv w:val="1"/>
      <w:marLeft w:val="0"/>
      <w:marRight w:val="0"/>
      <w:marTop w:val="0"/>
      <w:marBottom w:val="0"/>
      <w:divBdr>
        <w:top w:val="none" w:sz="0" w:space="0" w:color="auto"/>
        <w:left w:val="none" w:sz="0" w:space="0" w:color="auto"/>
        <w:bottom w:val="none" w:sz="0" w:space="0" w:color="auto"/>
        <w:right w:val="none" w:sz="0" w:space="0" w:color="auto"/>
      </w:divBdr>
    </w:div>
    <w:div w:id="1049841415">
      <w:bodyDiv w:val="1"/>
      <w:marLeft w:val="0"/>
      <w:marRight w:val="0"/>
      <w:marTop w:val="0"/>
      <w:marBottom w:val="0"/>
      <w:divBdr>
        <w:top w:val="none" w:sz="0" w:space="0" w:color="auto"/>
        <w:left w:val="none" w:sz="0" w:space="0" w:color="auto"/>
        <w:bottom w:val="none" w:sz="0" w:space="0" w:color="auto"/>
        <w:right w:val="none" w:sz="0" w:space="0" w:color="auto"/>
      </w:divBdr>
    </w:div>
    <w:div w:id="1050034739">
      <w:bodyDiv w:val="1"/>
      <w:marLeft w:val="0"/>
      <w:marRight w:val="0"/>
      <w:marTop w:val="0"/>
      <w:marBottom w:val="0"/>
      <w:divBdr>
        <w:top w:val="none" w:sz="0" w:space="0" w:color="auto"/>
        <w:left w:val="none" w:sz="0" w:space="0" w:color="auto"/>
        <w:bottom w:val="none" w:sz="0" w:space="0" w:color="auto"/>
        <w:right w:val="none" w:sz="0" w:space="0" w:color="auto"/>
      </w:divBdr>
    </w:div>
    <w:div w:id="1051266340">
      <w:bodyDiv w:val="1"/>
      <w:marLeft w:val="0"/>
      <w:marRight w:val="0"/>
      <w:marTop w:val="0"/>
      <w:marBottom w:val="0"/>
      <w:divBdr>
        <w:top w:val="none" w:sz="0" w:space="0" w:color="auto"/>
        <w:left w:val="none" w:sz="0" w:space="0" w:color="auto"/>
        <w:bottom w:val="none" w:sz="0" w:space="0" w:color="auto"/>
        <w:right w:val="none" w:sz="0" w:space="0" w:color="auto"/>
      </w:divBdr>
    </w:div>
    <w:div w:id="1053189984">
      <w:bodyDiv w:val="1"/>
      <w:marLeft w:val="0"/>
      <w:marRight w:val="0"/>
      <w:marTop w:val="0"/>
      <w:marBottom w:val="0"/>
      <w:divBdr>
        <w:top w:val="none" w:sz="0" w:space="0" w:color="auto"/>
        <w:left w:val="none" w:sz="0" w:space="0" w:color="auto"/>
        <w:bottom w:val="none" w:sz="0" w:space="0" w:color="auto"/>
        <w:right w:val="none" w:sz="0" w:space="0" w:color="auto"/>
      </w:divBdr>
    </w:div>
    <w:div w:id="1053886278">
      <w:bodyDiv w:val="1"/>
      <w:marLeft w:val="0"/>
      <w:marRight w:val="0"/>
      <w:marTop w:val="0"/>
      <w:marBottom w:val="0"/>
      <w:divBdr>
        <w:top w:val="none" w:sz="0" w:space="0" w:color="auto"/>
        <w:left w:val="none" w:sz="0" w:space="0" w:color="auto"/>
        <w:bottom w:val="none" w:sz="0" w:space="0" w:color="auto"/>
        <w:right w:val="none" w:sz="0" w:space="0" w:color="auto"/>
      </w:divBdr>
    </w:div>
    <w:div w:id="1054502233">
      <w:bodyDiv w:val="1"/>
      <w:marLeft w:val="0"/>
      <w:marRight w:val="0"/>
      <w:marTop w:val="0"/>
      <w:marBottom w:val="0"/>
      <w:divBdr>
        <w:top w:val="none" w:sz="0" w:space="0" w:color="auto"/>
        <w:left w:val="none" w:sz="0" w:space="0" w:color="auto"/>
        <w:bottom w:val="none" w:sz="0" w:space="0" w:color="auto"/>
        <w:right w:val="none" w:sz="0" w:space="0" w:color="auto"/>
      </w:divBdr>
    </w:div>
    <w:div w:id="1055929411">
      <w:bodyDiv w:val="1"/>
      <w:marLeft w:val="0"/>
      <w:marRight w:val="0"/>
      <w:marTop w:val="0"/>
      <w:marBottom w:val="0"/>
      <w:divBdr>
        <w:top w:val="none" w:sz="0" w:space="0" w:color="auto"/>
        <w:left w:val="none" w:sz="0" w:space="0" w:color="auto"/>
        <w:bottom w:val="none" w:sz="0" w:space="0" w:color="auto"/>
        <w:right w:val="none" w:sz="0" w:space="0" w:color="auto"/>
      </w:divBdr>
    </w:div>
    <w:div w:id="1057162322">
      <w:bodyDiv w:val="1"/>
      <w:marLeft w:val="0"/>
      <w:marRight w:val="0"/>
      <w:marTop w:val="0"/>
      <w:marBottom w:val="0"/>
      <w:divBdr>
        <w:top w:val="none" w:sz="0" w:space="0" w:color="auto"/>
        <w:left w:val="none" w:sz="0" w:space="0" w:color="auto"/>
        <w:bottom w:val="none" w:sz="0" w:space="0" w:color="auto"/>
        <w:right w:val="none" w:sz="0" w:space="0" w:color="auto"/>
      </w:divBdr>
    </w:div>
    <w:div w:id="1061637878">
      <w:bodyDiv w:val="1"/>
      <w:marLeft w:val="0"/>
      <w:marRight w:val="0"/>
      <w:marTop w:val="0"/>
      <w:marBottom w:val="0"/>
      <w:divBdr>
        <w:top w:val="none" w:sz="0" w:space="0" w:color="auto"/>
        <w:left w:val="none" w:sz="0" w:space="0" w:color="auto"/>
        <w:bottom w:val="none" w:sz="0" w:space="0" w:color="auto"/>
        <w:right w:val="none" w:sz="0" w:space="0" w:color="auto"/>
      </w:divBdr>
    </w:div>
    <w:div w:id="1063025808">
      <w:bodyDiv w:val="1"/>
      <w:marLeft w:val="0"/>
      <w:marRight w:val="0"/>
      <w:marTop w:val="0"/>
      <w:marBottom w:val="0"/>
      <w:divBdr>
        <w:top w:val="none" w:sz="0" w:space="0" w:color="auto"/>
        <w:left w:val="none" w:sz="0" w:space="0" w:color="auto"/>
        <w:bottom w:val="none" w:sz="0" w:space="0" w:color="auto"/>
        <w:right w:val="none" w:sz="0" w:space="0" w:color="auto"/>
      </w:divBdr>
    </w:div>
    <w:div w:id="1065639436">
      <w:bodyDiv w:val="1"/>
      <w:marLeft w:val="0"/>
      <w:marRight w:val="0"/>
      <w:marTop w:val="0"/>
      <w:marBottom w:val="0"/>
      <w:divBdr>
        <w:top w:val="none" w:sz="0" w:space="0" w:color="auto"/>
        <w:left w:val="none" w:sz="0" w:space="0" w:color="auto"/>
        <w:bottom w:val="none" w:sz="0" w:space="0" w:color="auto"/>
        <w:right w:val="none" w:sz="0" w:space="0" w:color="auto"/>
      </w:divBdr>
    </w:div>
    <w:div w:id="1066878693">
      <w:bodyDiv w:val="1"/>
      <w:marLeft w:val="0"/>
      <w:marRight w:val="0"/>
      <w:marTop w:val="0"/>
      <w:marBottom w:val="0"/>
      <w:divBdr>
        <w:top w:val="none" w:sz="0" w:space="0" w:color="auto"/>
        <w:left w:val="none" w:sz="0" w:space="0" w:color="auto"/>
        <w:bottom w:val="none" w:sz="0" w:space="0" w:color="auto"/>
        <w:right w:val="none" w:sz="0" w:space="0" w:color="auto"/>
      </w:divBdr>
    </w:div>
    <w:div w:id="1069310344">
      <w:bodyDiv w:val="1"/>
      <w:marLeft w:val="0"/>
      <w:marRight w:val="0"/>
      <w:marTop w:val="0"/>
      <w:marBottom w:val="0"/>
      <w:divBdr>
        <w:top w:val="none" w:sz="0" w:space="0" w:color="auto"/>
        <w:left w:val="none" w:sz="0" w:space="0" w:color="auto"/>
        <w:bottom w:val="none" w:sz="0" w:space="0" w:color="auto"/>
        <w:right w:val="none" w:sz="0" w:space="0" w:color="auto"/>
      </w:divBdr>
    </w:div>
    <w:div w:id="1070272606">
      <w:bodyDiv w:val="1"/>
      <w:marLeft w:val="0"/>
      <w:marRight w:val="0"/>
      <w:marTop w:val="0"/>
      <w:marBottom w:val="0"/>
      <w:divBdr>
        <w:top w:val="none" w:sz="0" w:space="0" w:color="auto"/>
        <w:left w:val="none" w:sz="0" w:space="0" w:color="auto"/>
        <w:bottom w:val="none" w:sz="0" w:space="0" w:color="auto"/>
        <w:right w:val="none" w:sz="0" w:space="0" w:color="auto"/>
      </w:divBdr>
    </w:div>
    <w:div w:id="1072309894">
      <w:bodyDiv w:val="1"/>
      <w:marLeft w:val="0"/>
      <w:marRight w:val="0"/>
      <w:marTop w:val="0"/>
      <w:marBottom w:val="0"/>
      <w:divBdr>
        <w:top w:val="none" w:sz="0" w:space="0" w:color="auto"/>
        <w:left w:val="none" w:sz="0" w:space="0" w:color="auto"/>
        <w:bottom w:val="none" w:sz="0" w:space="0" w:color="auto"/>
        <w:right w:val="none" w:sz="0" w:space="0" w:color="auto"/>
      </w:divBdr>
    </w:div>
    <w:div w:id="1075519441">
      <w:bodyDiv w:val="1"/>
      <w:marLeft w:val="0"/>
      <w:marRight w:val="0"/>
      <w:marTop w:val="0"/>
      <w:marBottom w:val="0"/>
      <w:divBdr>
        <w:top w:val="none" w:sz="0" w:space="0" w:color="auto"/>
        <w:left w:val="none" w:sz="0" w:space="0" w:color="auto"/>
        <w:bottom w:val="none" w:sz="0" w:space="0" w:color="auto"/>
        <w:right w:val="none" w:sz="0" w:space="0" w:color="auto"/>
      </w:divBdr>
    </w:div>
    <w:div w:id="1079015962">
      <w:bodyDiv w:val="1"/>
      <w:marLeft w:val="0"/>
      <w:marRight w:val="0"/>
      <w:marTop w:val="0"/>
      <w:marBottom w:val="0"/>
      <w:divBdr>
        <w:top w:val="none" w:sz="0" w:space="0" w:color="auto"/>
        <w:left w:val="none" w:sz="0" w:space="0" w:color="auto"/>
        <w:bottom w:val="none" w:sz="0" w:space="0" w:color="auto"/>
        <w:right w:val="none" w:sz="0" w:space="0" w:color="auto"/>
      </w:divBdr>
    </w:div>
    <w:div w:id="1079256572">
      <w:bodyDiv w:val="1"/>
      <w:marLeft w:val="0"/>
      <w:marRight w:val="0"/>
      <w:marTop w:val="0"/>
      <w:marBottom w:val="0"/>
      <w:divBdr>
        <w:top w:val="none" w:sz="0" w:space="0" w:color="auto"/>
        <w:left w:val="none" w:sz="0" w:space="0" w:color="auto"/>
        <w:bottom w:val="none" w:sz="0" w:space="0" w:color="auto"/>
        <w:right w:val="none" w:sz="0" w:space="0" w:color="auto"/>
      </w:divBdr>
    </w:div>
    <w:div w:id="1079909411">
      <w:bodyDiv w:val="1"/>
      <w:marLeft w:val="0"/>
      <w:marRight w:val="0"/>
      <w:marTop w:val="0"/>
      <w:marBottom w:val="0"/>
      <w:divBdr>
        <w:top w:val="none" w:sz="0" w:space="0" w:color="auto"/>
        <w:left w:val="none" w:sz="0" w:space="0" w:color="auto"/>
        <w:bottom w:val="none" w:sz="0" w:space="0" w:color="auto"/>
        <w:right w:val="none" w:sz="0" w:space="0" w:color="auto"/>
      </w:divBdr>
    </w:div>
    <w:div w:id="1080637951">
      <w:bodyDiv w:val="1"/>
      <w:marLeft w:val="0"/>
      <w:marRight w:val="0"/>
      <w:marTop w:val="0"/>
      <w:marBottom w:val="0"/>
      <w:divBdr>
        <w:top w:val="none" w:sz="0" w:space="0" w:color="auto"/>
        <w:left w:val="none" w:sz="0" w:space="0" w:color="auto"/>
        <w:bottom w:val="none" w:sz="0" w:space="0" w:color="auto"/>
        <w:right w:val="none" w:sz="0" w:space="0" w:color="auto"/>
      </w:divBdr>
    </w:div>
    <w:div w:id="1082140066">
      <w:bodyDiv w:val="1"/>
      <w:marLeft w:val="0"/>
      <w:marRight w:val="0"/>
      <w:marTop w:val="0"/>
      <w:marBottom w:val="0"/>
      <w:divBdr>
        <w:top w:val="none" w:sz="0" w:space="0" w:color="auto"/>
        <w:left w:val="none" w:sz="0" w:space="0" w:color="auto"/>
        <w:bottom w:val="none" w:sz="0" w:space="0" w:color="auto"/>
        <w:right w:val="none" w:sz="0" w:space="0" w:color="auto"/>
      </w:divBdr>
    </w:div>
    <w:div w:id="1082331240">
      <w:bodyDiv w:val="1"/>
      <w:marLeft w:val="0"/>
      <w:marRight w:val="0"/>
      <w:marTop w:val="0"/>
      <w:marBottom w:val="0"/>
      <w:divBdr>
        <w:top w:val="none" w:sz="0" w:space="0" w:color="auto"/>
        <w:left w:val="none" w:sz="0" w:space="0" w:color="auto"/>
        <w:bottom w:val="none" w:sz="0" w:space="0" w:color="auto"/>
        <w:right w:val="none" w:sz="0" w:space="0" w:color="auto"/>
      </w:divBdr>
    </w:div>
    <w:div w:id="1082990378">
      <w:bodyDiv w:val="1"/>
      <w:marLeft w:val="0"/>
      <w:marRight w:val="0"/>
      <w:marTop w:val="0"/>
      <w:marBottom w:val="0"/>
      <w:divBdr>
        <w:top w:val="none" w:sz="0" w:space="0" w:color="auto"/>
        <w:left w:val="none" w:sz="0" w:space="0" w:color="auto"/>
        <w:bottom w:val="none" w:sz="0" w:space="0" w:color="auto"/>
        <w:right w:val="none" w:sz="0" w:space="0" w:color="auto"/>
      </w:divBdr>
    </w:div>
    <w:div w:id="1082992136">
      <w:bodyDiv w:val="1"/>
      <w:marLeft w:val="0"/>
      <w:marRight w:val="0"/>
      <w:marTop w:val="0"/>
      <w:marBottom w:val="0"/>
      <w:divBdr>
        <w:top w:val="none" w:sz="0" w:space="0" w:color="auto"/>
        <w:left w:val="none" w:sz="0" w:space="0" w:color="auto"/>
        <w:bottom w:val="none" w:sz="0" w:space="0" w:color="auto"/>
        <w:right w:val="none" w:sz="0" w:space="0" w:color="auto"/>
      </w:divBdr>
      <w:divsChild>
        <w:div w:id="908227750">
          <w:marLeft w:val="547"/>
          <w:marRight w:val="0"/>
          <w:marTop w:val="0"/>
          <w:marBottom w:val="0"/>
          <w:divBdr>
            <w:top w:val="none" w:sz="0" w:space="0" w:color="auto"/>
            <w:left w:val="none" w:sz="0" w:space="0" w:color="auto"/>
            <w:bottom w:val="none" w:sz="0" w:space="0" w:color="auto"/>
            <w:right w:val="none" w:sz="0" w:space="0" w:color="auto"/>
          </w:divBdr>
        </w:div>
      </w:divsChild>
    </w:div>
    <w:div w:id="1086607753">
      <w:bodyDiv w:val="1"/>
      <w:marLeft w:val="0"/>
      <w:marRight w:val="0"/>
      <w:marTop w:val="0"/>
      <w:marBottom w:val="0"/>
      <w:divBdr>
        <w:top w:val="none" w:sz="0" w:space="0" w:color="auto"/>
        <w:left w:val="none" w:sz="0" w:space="0" w:color="auto"/>
        <w:bottom w:val="none" w:sz="0" w:space="0" w:color="auto"/>
        <w:right w:val="none" w:sz="0" w:space="0" w:color="auto"/>
      </w:divBdr>
    </w:div>
    <w:div w:id="1087657387">
      <w:bodyDiv w:val="1"/>
      <w:marLeft w:val="0"/>
      <w:marRight w:val="0"/>
      <w:marTop w:val="0"/>
      <w:marBottom w:val="0"/>
      <w:divBdr>
        <w:top w:val="none" w:sz="0" w:space="0" w:color="auto"/>
        <w:left w:val="none" w:sz="0" w:space="0" w:color="auto"/>
        <w:bottom w:val="none" w:sz="0" w:space="0" w:color="auto"/>
        <w:right w:val="none" w:sz="0" w:space="0" w:color="auto"/>
      </w:divBdr>
    </w:div>
    <w:div w:id="1090392726">
      <w:bodyDiv w:val="1"/>
      <w:marLeft w:val="0"/>
      <w:marRight w:val="0"/>
      <w:marTop w:val="0"/>
      <w:marBottom w:val="0"/>
      <w:divBdr>
        <w:top w:val="none" w:sz="0" w:space="0" w:color="auto"/>
        <w:left w:val="none" w:sz="0" w:space="0" w:color="auto"/>
        <w:bottom w:val="none" w:sz="0" w:space="0" w:color="auto"/>
        <w:right w:val="none" w:sz="0" w:space="0" w:color="auto"/>
      </w:divBdr>
    </w:div>
    <w:div w:id="1090734479">
      <w:bodyDiv w:val="1"/>
      <w:marLeft w:val="0"/>
      <w:marRight w:val="0"/>
      <w:marTop w:val="0"/>
      <w:marBottom w:val="0"/>
      <w:divBdr>
        <w:top w:val="none" w:sz="0" w:space="0" w:color="auto"/>
        <w:left w:val="none" w:sz="0" w:space="0" w:color="auto"/>
        <w:bottom w:val="none" w:sz="0" w:space="0" w:color="auto"/>
        <w:right w:val="none" w:sz="0" w:space="0" w:color="auto"/>
      </w:divBdr>
    </w:div>
    <w:div w:id="1091849377">
      <w:bodyDiv w:val="1"/>
      <w:marLeft w:val="0"/>
      <w:marRight w:val="0"/>
      <w:marTop w:val="0"/>
      <w:marBottom w:val="0"/>
      <w:divBdr>
        <w:top w:val="none" w:sz="0" w:space="0" w:color="auto"/>
        <w:left w:val="none" w:sz="0" w:space="0" w:color="auto"/>
        <w:bottom w:val="none" w:sz="0" w:space="0" w:color="auto"/>
        <w:right w:val="none" w:sz="0" w:space="0" w:color="auto"/>
      </w:divBdr>
    </w:div>
    <w:div w:id="1092631170">
      <w:bodyDiv w:val="1"/>
      <w:marLeft w:val="0"/>
      <w:marRight w:val="0"/>
      <w:marTop w:val="0"/>
      <w:marBottom w:val="0"/>
      <w:divBdr>
        <w:top w:val="none" w:sz="0" w:space="0" w:color="auto"/>
        <w:left w:val="none" w:sz="0" w:space="0" w:color="auto"/>
        <w:bottom w:val="none" w:sz="0" w:space="0" w:color="auto"/>
        <w:right w:val="none" w:sz="0" w:space="0" w:color="auto"/>
      </w:divBdr>
    </w:div>
    <w:div w:id="1092973377">
      <w:bodyDiv w:val="1"/>
      <w:marLeft w:val="0"/>
      <w:marRight w:val="0"/>
      <w:marTop w:val="0"/>
      <w:marBottom w:val="0"/>
      <w:divBdr>
        <w:top w:val="none" w:sz="0" w:space="0" w:color="auto"/>
        <w:left w:val="none" w:sz="0" w:space="0" w:color="auto"/>
        <w:bottom w:val="none" w:sz="0" w:space="0" w:color="auto"/>
        <w:right w:val="none" w:sz="0" w:space="0" w:color="auto"/>
      </w:divBdr>
    </w:div>
    <w:div w:id="1093284920">
      <w:bodyDiv w:val="1"/>
      <w:marLeft w:val="0"/>
      <w:marRight w:val="0"/>
      <w:marTop w:val="0"/>
      <w:marBottom w:val="0"/>
      <w:divBdr>
        <w:top w:val="none" w:sz="0" w:space="0" w:color="auto"/>
        <w:left w:val="none" w:sz="0" w:space="0" w:color="auto"/>
        <w:bottom w:val="none" w:sz="0" w:space="0" w:color="auto"/>
        <w:right w:val="none" w:sz="0" w:space="0" w:color="auto"/>
      </w:divBdr>
    </w:div>
    <w:div w:id="1100026388">
      <w:bodyDiv w:val="1"/>
      <w:marLeft w:val="0"/>
      <w:marRight w:val="0"/>
      <w:marTop w:val="0"/>
      <w:marBottom w:val="0"/>
      <w:divBdr>
        <w:top w:val="none" w:sz="0" w:space="0" w:color="auto"/>
        <w:left w:val="none" w:sz="0" w:space="0" w:color="auto"/>
        <w:bottom w:val="none" w:sz="0" w:space="0" w:color="auto"/>
        <w:right w:val="none" w:sz="0" w:space="0" w:color="auto"/>
      </w:divBdr>
      <w:divsChild>
        <w:div w:id="446194690">
          <w:marLeft w:val="274"/>
          <w:marRight w:val="0"/>
          <w:marTop w:val="0"/>
          <w:marBottom w:val="0"/>
          <w:divBdr>
            <w:top w:val="none" w:sz="0" w:space="0" w:color="auto"/>
            <w:left w:val="none" w:sz="0" w:space="0" w:color="auto"/>
            <w:bottom w:val="none" w:sz="0" w:space="0" w:color="auto"/>
            <w:right w:val="none" w:sz="0" w:space="0" w:color="auto"/>
          </w:divBdr>
        </w:div>
      </w:divsChild>
    </w:div>
    <w:div w:id="1101798116">
      <w:bodyDiv w:val="1"/>
      <w:marLeft w:val="0"/>
      <w:marRight w:val="0"/>
      <w:marTop w:val="0"/>
      <w:marBottom w:val="0"/>
      <w:divBdr>
        <w:top w:val="none" w:sz="0" w:space="0" w:color="auto"/>
        <w:left w:val="none" w:sz="0" w:space="0" w:color="auto"/>
        <w:bottom w:val="none" w:sz="0" w:space="0" w:color="auto"/>
        <w:right w:val="none" w:sz="0" w:space="0" w:color="auto"/>
      </w:divBdr>
    </w:div>
    <w:div w:id="1108042150">
      <w:bodyDiv w:val="1"/>
      <w:marLeft w:val="0"/>
      <w:marRight w:val="0"/>
      <w:marTop w:val="0"/>
      <w:marBottom w:val="0"/>
      <w:divBdr>
        <w:top w:val="none" w:sz="0" w:space="0" w:color="auto"/>
        <w:left w:val="none" w:sz="0" w:space="0" w:color="auto"/>
        <w:bottom w:val="none" w:sz="0" w:space="0" w:color="auto"/>
        <w:right w:val="none" w:sz="0" w:space="0" w:color="auto"/>
      </w:divBdr>
    </w:div>
    <w:div w:id="1112744084">
      <w:bodyDiv w:val="1"/>
      <w:marLeft w:val="0"/>
      <w:marRight w:val="0"/>
      <w:marTop w:val="0"/>
      <w:marBottom w:val="0"/>
      <w:divBdr>
        <w:top w:val="none" w:sz="0" w:space="0" w:color="auto"/>
        <w:left w:val="none" w:sz="0" w:space="0" w:color="auto"/>
        <w:bottom w:val="none" w:sz="0" w:space="0" w:color="auto"/>
        <w:right w:val="none" w:sz="0" w:space="0" w:color="auto"/>
      </w:divBdr>
    </w:div>
    <w:div w:id="1112944046">
      <w:bodyDiv w:val="1"/>
      <w:marLeft w:val="0"/>
      <w:marRight w:val="0"/>
      <w:marTop w:val="0"/>
      <w:marBottom w:val="0"/>
      <w:divBdr>
        <w:top w:val="none" w:sz="0" w:space="0" w:color="auto"/>
        <w:left w:val="none" w:sz="0" w:space="0" w:color="auto"/>
        <w:bottom w:val="none" w:sz="0" w:space="0" w:color="auto"/>
        <w:right w:val="none" w:sz="0" w:space="0" w:color="auto"/>
      </w:divBdr>
    </w:div>
    <w:div w:id="1113204194">
      <w:bodyDiv w:val="1"/>
      <w:marLeft w:val="0"/>
      <w:marRight w:val="0"/>
      <w:marTop w:val="0"/>
      <w:marBottom w:val="0"/>
      <w:divBdr>
        <w:top w:val="none" w:sz="0" w:space="0" w:color="auto"/>
        <w:left w:val="none" w:sz="0" w:space="0" w:color="auto"/>
        <w:bottom w:val="none" w:sz="0" w:space="0" w:color="auto"/>
        <w:right w:val="none" w:sz="0" w:space="0" w:color="auto"/>
      </w:divBdr>
    </w:div>
    <w:div w:id="1113597524">
      <w:bodyDiv w:val="1"/>
      <w:marLeft w:val="0"/>
      <w:marRight w:val="0"/>
      <w:marTop w:val="0"/>
      <w:marBottom w:val="0"/>
      <w:divBdr>
        <w:top w:val="none" w:sz="0" w:space="0" w:color="auto"/>
        <w:left w:val="none" w:sz="0" w:space="0" w:color="auto"/>
        <w:bottom w:val="none" w:sz="0" w:space="0" w:color="auto"/>
        <w:right w:val="none" w:sz="0" w:space="0" w:color="auto"/>
      </w:divBdr>
    </w:div>
    <w:div w:id="1113936698">
      <w:bodyDiv w:val="1"/>
      <w:marLeft w:val="0"/>
      <w:marRight w:val="0"/>
      <w:marTop w:val="0"/>
      <w:marBottom w:val="0"/>
      <w:divBdr>
        <w:top w:val="none" w:sz="0" w:space="0" w:color="auto"/>
        <w:left w:val="none" w:sz="0" w:space="0" w:color="auto"/>
        <w:bottom w:val="none" w:sz="0" w:space="0" w:color="auto"/>
        <w:right w:val="none" w:sz="0" w:space="0" w:color="auto"/>
      </w:divBdr>
    </w:div>
    <w:div w:id="1114133155">
      <w:bodyDiv w:val="1"/>
      <w:marLeft w:val="0"/>
      <w:marRight w:val="0"/>
      <w:marTop w:val="0"/>
      <w:marBottom w:val="0"/>
      <w:divBdr>
        <w:top w:val="none" w:sz="0" w:space="0" w:color="auto"/>
        <w:left w:val="none" w:sz="0" w:space="0" w:color="auto"/>
        <w:bottom w:val="none" w:sz="0" w:space="0" w:color="auto"/>
        <w:right w:val="none" w:sz="0" w:space="0" w:color="auto"/>
      </w:divBdr>
    </w:div>
    <w:div w:id="1115518185">
      <w:bodyDiv w:val="1"/>
      <w:marLeft w:val="0"/>
      <w:marRight w:val="0"/>
      <w:marTop w:val="0"/>
      <w:marBottom w:val="0"/>
      <w:divBdr>
        <w:top w:val="none" w:sz="0" w:space="0" w:color="auto"/>
        <w:left w:val="none" w:sz="0" w:space="0" w:color="auto"/>
        <w:bottom w:val="none" w:sz="0" w:space="0" w:color="auto"/>
        <w:right w:val="none" w:sz="0" w:space="0" w:color="auto"/>
      </w:divBdr>
    </w:div>
    <w:div w:id="1115758957">
      <w:bodyDiv w:val="1"/>
      <w:marLeft w:val="0"/>
      <w:marRight w:val="0"/>
      <w:marTop w:val="0"/>
      <w:marBottom w:val="0"/>
      <w:divBdr>
        <w:top w:val="none" w:sz="0" w:space="0" w:color="auto"/>
        <w:left w:val="none" w:sz="0" w:space="0" w:color="auto"/>
        <w:bottom w:val="none" w:sz="0" w:space="0" w:color="auto"/>
        <w:right w:val="none" w:sz="0" w:space="0" w:color="auto"/>
      </w:divBdr>
    </w:div>
    <w:div w:id="1115906134">
      <w:bodyDiv w:val="1"/>
      <w:marLeft w:val="0"/>
      <w:marRight w:val="0"/>
      <w:marTop w:val="0"/>
      <w:marBottom w:val="0"/>
      <w:divBdr>
        <w:top w:val="none" w:sz="0" w:space="0" w:color="auto"/>
        <w:left w:val="none" w:sz="0" w:space="0" w:color="auto"/>
        <w:bottom w:val="none" w:sz="0" w:space="0" w:color="auto"/>
        <w:right w:val="none" w:sz="0" w:space="0" w:color="auto"/>
      </w:divBdr>
    </w:div>
    <w:div w:id="1124344804">
      <w:bodyDiv w:val="1"/>
      <w:marLeft w:val="0"/>
      <w:marRight w:val="0"/>
      <w:marTop w:val="0"/>
      <w:marBottom w:val="0"/>
      <w:divBdr>
        <w:top w:val="none" w:sz="0" w:space="0" w:color="auto"/>
        <w:left w:val="none" w:sz="0" w:space="0" w:color="auto"/>
        <w:bottom w:val="none" w:sz="0" w:space="0" w:color="auto"/>
        <w:right w:val="none" w:sz="0" w:space="0" w:color="auto"/>
      </w:divBdr>
    </w:div>
    <w:div w:id="1125852567">
      <w:bodyDiv w:val="1"/>
      <w:marLeft w:val="0"/>
      <w:marRight w:val="0"/>
      <w:marTop w:val="0"/>
      <w:marBottom w:val="0"/>
      <w:divBdr>
        <w:top w:val="none" w:sz="0" w:space="0" w:color="auto"/>
        <w:left w:val="none" w:sz="0" w:space="0" w:color="auto"/>
        <w:bottom w:val="none" w:sz="0" w:space="0" w:color="auto"/>
        <w:right w:val="none" w:sz="0" w:space="0" w:color="auto"/>
      </w:divBdr>
    </w:div>
    <w:div w:id="1127621977">
      <w:bodyDiv w:val="1"/>
      <w:marLeft w:val="0"/>
      <w:marRight w:val="0"/>
      <w:marTop w:val="0"/>
      <w:marBottom w:val="0"/>
      <w:divBdr>
        <w:top w:val="none" w:sz="0" w:space="0" w:color="auto"/>
        <w:left w:val="none" w:sz="0" w:space="0" w:color="auto"/>
        <w:bottom w:val="none" w:sz="0" w:space="0" w:color="auto"/>
        <w:right w:val="none" w:sz="0" w:space="0" w:color="auto"/>
      </w:divBdr>
    </w:div>
    <w:div w:id="1128553136">
      <w:bodyDiv w:val="1"/>
      <w:marLeft w:val="0"/>
      <w:marRight w:val="0"/>
      <w:marTop w:val="0"/>
      <w:marBottom w:val="0"/>
      <w:divBdr>
        <w:top w:val="none" w:sz="0" w:space="0" w:color="auto"/>
        <w:left w:val="none" w:sz="0" w:space="0" w:color="auto"/>
        <w:bottom w:val="none" w:sz="0" w:space="0" w:color="auto"/>
        <w:right w:val="none" w:sz="0" w:space="0" w:color="auto"/>
      </w:divBdr>
    </w:div>
    <w:div w:id="1129784453">
      <w:bodyDiv w:val="1"/>
      <w:marLeft w:val="0"/>
      <w:marRight w:val="0"/>
      <w:marTop w:val="0"/>
      <w:marBottom w:val="0"/>
      <w:divBdr>
        <w:top w:val="none" w:sz="0" w:space="0" w:color="auto"/>
        <w:left w:val="none" w:sz="0" w:space="0" w:color="auto"/>
        <w:bottom w:val="none" w:sz="0" w:space="0" w:color="auto"/>
        <w:right w:val="none" w:sz="0" w:space="0" w:color="auto"/>
      </w:divBdr>
    </w:div>
    <w:div w:id="1129932663">
      <w:bodyDiv w:val="1"/>
      <w:marLeft w:val="0"/>
      <w:marRight w:val="0"/>
      <w:marTop w:val="0"/>
      <w:marBottom w:val="0"/>
      <w:divBdr>
        <w:top w:val="none" w:sz="0" w:space="0" w:color="auto"/>
        <w:left w:val="none" w:sz="0" w:space="0" w:color="auto"/>
        <w:bottom w:val="none" w:sz="0" w:space="0" w:color="auto"/>
        <w:right w:val="none" w:sz="0" w:space="0" w:color="auto"/>
      </w:divBdr>
    </w:div>
    <w:div w:id="1133449792">
      <w:bodyDiv w:val="1"/>
      <w:marLeft w:val="0"/>
      <w:marRight w:val="0"/>
      <w:marTop w:val="0"/>
      <w:marBottom w:val="0"/>
      <w:divBdr>
        <w:top w:val="none" w:sz="0" w:space="0" w:color="auto"/>
        <w:left w:val="none" w:sz="0" w:space="0" w:color="auto"/>
        <w:bottom w:val="none" w:sz="0" w:space="0" w:color="auto"/>
        <w:right w:val="none" w:sz="0" w:space="0" w:color="auto"/>
      </w:divBdr>
    </w:div>
    <w:div w:id="1133525410">
      <w:bodyDiv w:val="1"/>
      <w:marLeft w:val="0"/>
      <w:marRight w:val="0"/>
      <w:marTop w:val="0"/>
      <w:marBottom w:val="0"/>
      <w:divBdr>
        <w:top w:val="none" w:sz="0" w:space="0" w:color="auto"/>
        <w:left w:val="none" w:sz="0" w:space="0" w:color="auto"/>
        <w:bottom w:val="none" w:sz="0" w:space="0" w:color="auto"/>
        <w:right w:val="none" w:sz="0" w:space="0" w:color="auto"/>
      </w:divBdr>
    </w:div>
    <w:div w:id="1134173000">
      <w:bodyDiv w:val="1"/>
      <w:marLeft w:val="0"/>
      <w:marRight w:val="0"/>
      <w:marTop w:val="0"/>
      <w:marBottom w:val="0"/>
      <w:divBdr>
        <w:top w:val="none" w:sz="0" w:space="0" w:color="auto"/>
        <w:left w:val="none" w:sz="0" w:space="0" w:color="auto"/>
        <w:bottom w:val="none" w:sz="0" w:space="0" w:color="auto"/>
        <w:right w:val="none" w:sz="0" w:space="0" w:color="auto"/>
      </w:divBdr>
    </w:div>
    <w:div w:id="1143932436">
      <w:bodyDiv w:val="1"/>
      <w:marLeft w:val="0"/>
      <w:marRight w:val="0"/>
      <w:marTop w:val="0"/>
      <w:marBottom w:val="0"/>
      <w:divBdr>
        <w:top w:val="none" w:sz="0" w:space="0" w:color="auto"/>
        <w:left w:val="none" w:sz="0" w:space="0" w:color="auto"/>
        <w:bottom w:val="none" w:sz="0" w:space="0" w:color="auto"/>
        <w:right w:val="none" w:sz="0" w:space="0" w:color="auto"/>
      </w:divBdr>
    </w:div>
    <w:div w:id="1152451140">
      <w:bodyDiv w:val="1"/>
      <w:marLeft w:val="0"/>
      <w:marRight w:val="0"/>
      <w:marTop w:val="0"/>
      <w:marBottom w:val="0"/>
      <w:divBdr>
        <w:top w:val="none" w:sz="0" w:space="0" w:color="auto"/>
        <w:left w:val="none" w:sz="0" w:space="0" w:color="auto"/>
        <w:bottom w:val="none" w:sz="0" w:space="0" w:color="auto"/>
        <w:right w:val="none" w:sz="0" w:space="0" w:color="auto"/>
      </w:divBdr>
    </w:div>
    <w:div w:id="1153330556">
      <w:bodyDiv w:val="1"/>
      <w:marLeft w:val="0"/>
      <w:marRight w:val="0"/>
      <w:marTop w:val="0"/>
      <w:marBottom w:val="0"/>
      <w:divBdr>
        <w:top w:val="none" w:sz="0" w:space="0" w:color="auto"/>
        <w:left w:val="none" w:sz="0" w:space="0" w:color="auto"/>
        <w:bottom w:val="none" w:sz="0" w:space="0" w:color="auto"/>
        <w:right w:val="none" w:sz="0" w:space="0" w:color="auto"/>
      </w:divBdr>
    </w:div>
    <w:div w:id="1153452033">
      <w:bodyDiv w:val="1"/>
      <w:marLeft w:val="0"/>
      <w:marRight w:val="0"/>
      <w:marTop w:val="0"/>
      <w:marBottom w:val="0"/>
      <w:divBdr>
        <w:top w:val="none" w:sz="0" w:space="0" w:color="auto"/>
        <w:left w:val="none" w:sz="0" w:space="0" w:color="auto"/>
        <w:bottom w:val="none" w:sz="0" w:space="0" w:color="auto"/>
        <w:right w:val="none" w:sz="0" w:space="0" w:color="auto"/>
      </w:divBdr>
    </w:div>
    <w:div w:id="1158809322">
      <w:bodyDiv w:val="1"/>
      <w:marLeft w:val="0"/>
      <w:marRight w:val="0"/>
      <w:marTop w:val="0"/>
      <w:marBottom w:val="0"/>
      <w:divBdr>
        <w:top w:val="none" w:sz="0" w:space="0" w:color="auto"/>
        <w:left w:val="none" w:sz="0" w:space="0" w:color="auto"/>
        <w:bottom w:val="none" w:sz="0" w:space="0" w:color="auto"/>
        <w:right w:val="none" w:sz="0" w:space="0" w:color="auto"/>
      </w:divBdr>
    </w:div>
    <w:div w:id="1160460260">
      <w:bodyDiv w:val="1"/>
      <w:marLeft w:val="0"/>
      <w:marRight w:val="0"/>
      <w:marTop w:val="0"/>
      <w:marBottom w:val="0"/>
      <w:divBdr>
        <w:top w:val="none" w:sz="0" w:space="0" w:color="auto"/>
        <w:left w:val="none" w:sz="0" w:space="0" w:color="auto"/>
        <w:bottom w:val="none" w:sz="0" w:space="0" w:color="auto"/>
        <w:right w:val="none" w:sz="0" w:space="0" w:color="auto"/>
      </w:divBdr>
      <w:divsChild>
        <w:div w:id="1003245312">
          <w:marLeft w:val="547"/>
          <w:marRight w:val="0"/>
          <w:marTop w:val="0"/>
          <w:marBottom w:val="0"/>
          <w:divBdr>
            <w:top w:val="none" w:sz="0" w:space="0" w:color="auto"/>
            <w:left w:val="none" w:sz="0" w:space="0" w:color="auto"/>
            <w:bottom w:val="none" w:sz="0" w:space="0" w:color="auto"/>
            <w:right w:val="none" w:sz="0" w:space="0" w:color="auto"/>
          </w:divBdr>
        </w:div>
      </w:divsChild>
    </w:div>
    <w:div w:id="1161963779">
      <w:bodyDiv w:val="1"/>
      <w:marLeft w:val="0"/>
      <w:marRight w:val="0"/>
      <w:marTop w:val="0"/>
      <w:marBottom w:val="0"/>
      <w:divBdr>
        <w:top w:val="none" w:sz="0" w:space="0" w:color="auto"/>
        <w:left w:val="none" w:sz="0" w:space="0" w:color="auto"/>
        <w:bottom w:val="none" w:sz="0" w:space="0" w:color="auto"/>
        <w:right w:val="none" w:sz="0" w:space="0" w:color="auto"/>
      </w:divBdr>
    </w:div>
    <w:div w:id="1162087132">
      <w:bodyDiv w:val="1"/>
      <w:marLeft w:val="0"/>
      <w:marRight w:val="0"/>
      <w:marTop w:val="0"/>
      <w:marBottom w:val="0"/>
      <w:divBdr>
        <w:top w:val="none" w:sz="0" w:space="0" w:color="auto"/>
        <w:left w:val="none" w:sz="0" w:space="0" w:color="auto"/>
        <w:bottom w:val="none" w:sz="0" w:space="0" w:color="auto"/>
        <w:right w:val="none" w:sz="0" w:space="0" w:color="auto"/>
      </w:divBdr>
    </w:div>
    <w:div w:id="1162281832">
      <w:bodyDiv w:val="1"/>
      <w:marLeft w:val="0"/>
      <w:marRight w:val="0"/>
      <w:marTop w:val="0"/>
      <w:marBottom w:val="0"/>
      <w:divBdr>
        <w:top w:val="none" w:sz="0" w:space="0" w:color="auto"/>
        <w:left w:val="none" w:sz="0" w:space="0" w:color="auto"/>
        <w:bottom w:val="none" w:sz="0" w:space="0" w:color="auto"/>
        <w:right w:val="none" w:sz="0" w:space="0" w:color="auto"/>
      </w:divBdr>
    </w:div>
    <w:div w:id="1165239338">
      <w:bodyDiv w:val="1"/>
      <w:marLeft w:val="0"/>
      <w:marRight w:val="0"/>
      <w:marTop w:val="0"/>
      <w:marBottom w:val="0"/>
      <w:divBdr>
        <w:top w:val="none" w:sz="0" w:space="0" w:color="auto"/>
        <w:left w:val="none" w:sz="0" w:space="0" w:color="auto"/>
        <w:bottom w:val="none" w:sz="0" w:space="0" w:color="auto"/>
        <w:right w:val="none" w:sz="0" w:space="0" w:color="auto"/>
      </w:divBdr>
    </w:div>
    <w:div w:id="1165558713">
      <w:bodyDiv w:val="1"/>
      <w:marLeft w:val="0"/>
      <w:marRight w:val="0"/>
      <w:marTop w:val="0"/>
      <w:marBottom w:val="0"/>
      <w:divBdr>
        <w:top w:val="none" w:sz="0" w:space="0" w:color="auto"/>
        <w:left w:val="none" w:sz="0" w:space="0" w:color="auto"/>
        <w:bottom w:val="none" w:sz="0" w:space="0" w:color="auto"/>
        <w:right w:val="none" w:sz="0" w:space="0" w:color="auto"/>
      </w:divBdr>
    </w:div>
    <w:div w:id="1166633712">
      <w:bodyDiv w:val="1"/>
      <w:marLeft w:val="0"/>
      <w:marRight w:val="0"/>
      <w:marTop w:val="0"/>
      <w:marBottom w:val="0"/>
      <w:divBdr>
        <w:top w:val="none" w:sz="0" w:space="0" w:color="auto"/>
        <w:left w:val="none" w:sz="0" w:space="0" w:color="auto"/>
        <w:bottom w:val="none" w:sz="0" w:space="0" w:color="auto"/>
        <w:right w:val="none" w:sz="0" w:space="0" w:color="auto"/>
      </w:divBdr>
    </w:div>
    <w:div w:id="1169952569">
      <w:bodyDiv w:val="1"/>
      <w:marLeft w:val="0"/>
      <w:marRight w:val="0"/>
      <w:marTop w:val="0"/>
      <w:marBottom w:val="0"/>
      <w:divBdr>
        <w:top w:val="none" w:sz="0" w:space="0" w:color="auto"/>
        <w:left w:val="none" w:sz="0" w:space="0" w:color="auto"/>
        <w:bottom w:val="none" w:sz="0" w:space="0" w:color="auto"/>
        <w:right w:val="none" w:sz="0" w:space="0" w:color="auto"/>
      </w:divBdr>
    </w:div>
    <w:div w:id="1173956945">
      <w:bodyDiv w:val="1"/>
      <w:marLeft w:val="0"/>
      <w:marRight w:val="0"/>
      <w:marTop w:val="0"/>
      <w:marBottom w:val="0"/>
      <w:divBdr>
        <w:top w:val="none" w:sz="0" w:space="0" w:color="auto"/>
        <w:left w:val="none" w:sz="0" w:space="0" w:color="auto"/>
        <w:bottom w:val="none" w:sz="0" w:space="0" w:color="auto"/>
        <w:right w:val="none" w:sz="0" w:space="0" w:color="auto"/>
      </w:divBdr>
    </w:div>
    <w:div w:id="1176068247">
      <w:bodyDiv w:val="1"/>
      <w:marLeft w:val="0"/>
      <w:marRight w:val="0"/>
      <w:marTop w:val="0"/>
      <w:marBottom w:val="0"/>
      <w:divBdr>
        <w:top w:val="none" w:sz="0" w:space="0" w:color="auto"/>
        <w:left w:val="none" w:sz="0" w:space="0" w:color="auto"/>
        <w:bottom w:val="none" w:sz="0" w:space="0" w:color="auto"/>
        <w:right w:val="none" w:sz="0" w:space="0" w:color="auto"/>
      </w:divBdr>
    </w:div>
    <w:div w:id="1177304648">
      <w:bodyDiv w:val="1"/>
      <w:marLeft w:val="0"/>
      <w:marRight w:val="0"/>
      <w:marTop w:val="0"/>
      <w:marBottom w:val="0"/>
      <w:divBdr>
        <w:top w:val="none" w:sz="0" w:space="0" w:color="auto"/>
        <w:left w:val="none" w:sz="0" w:space="0" w:color="auto"/>
        <w:bottom w:val="none" w:sz="0" w:space="0" w:color="auto"/>
        <w:right w:val="none" w:sz="0" w:space="0" w:color="auto"/>
      </w:divBdr>
    </w:div>
    <w:div w:id="1179275968">
      <w:bodyDiv w:val="1"/>
      <w:marLeft w:val="0"/>
      <w:marRight w:val="0"/>
      <w:marTop w:val="0"/>
      <w:marBottom w:val="0"/>
      <w:divBdr>
        <w:top w:val="none" w:sz="0" w:space="0" w:color="auto"/>
        <w:left w:val="none" w:sz="0" w:space="0" w:color="auto"/>
        <w:bottom w:val="none" w:sz="0" w:space="0" w:color="auto"/>
        <w:right w:val="none" w:sz="0" w:space="0" w:color="auto"/>
      </w:divBdr>
    </w:div>
    <w:div w:id="1187058207">
      <w:bodyDiv w:val="1"/>
      <w:marLeft w:val="0"/>
      <w:marRight w:val="0"/>
      <w:marTop w:val="0"/>
      <w:marBottom w:val="0"/>
      <w:divBdr>
        <w:top w:val="none" w:sz="0" w:space="0" w:color="auto"/>
        <w:left w:val="none" w:sz="0" w:space="0" w:color="auto"/>
        <w:bottom w:val="none" w:sz="0" w:space="0" w:color="auto"/>
        <w:right w:val="none" w:sz="0" w:space="0" w:color="auto"/>
      </w:divBdr>
    </w:div>
    <w:div w:id="1187253039">
      <w:bodyDiv w:val="1"/>
      <w:marLeft w:val="0"/>
      <w:marRight w:val="0"/>
      <w:marTop w:val="0"/>
      <w:marBottom w:val="0"/>
      <w:divBdr>
        <w:top w:val="none" w:sz="0" w:space="0" w:color="auto"/>
        <w:left w:val="none" w:sz="0" w:space="0" w:color="auto"/>
        <w:bottom w:val="none" w:sz="0" w:space="0" w:color="auto"/>
        <w:right w:val="none" w:sz="0" w:space="0" w:color="auto"/>
      </w:divBdr>
    </w:div>
    <w:div w:id="1187793030">
      <w:bodyDiv w:val="1"/>
      <w:marLeft w:val="0"/>
      <w:marRight w:val="0"/>
      <w:marTop w:val="0"/>
      <w:marBottom w:val="0"/>
      <w:divBdr>
        <w:top w:val="none" w:sz="0" w:space="0" w:color="auto"/>
        <w:left w:val="none" w:sz="0" w:space="0" w:color="auto"/>
        <w:bottom w:val="none" w:sz="0" w:space="0" w:color="auto"/>
        <w:right w:val="none" w:sz="0" w:space="0" w:color="auto"/>
      </w:divBdr>
    </w:div>
    <w:div w:id="1188519752">
      <w:bodyDiv w:val="1"/>
      <w:marLeft w:val="0"/>
      <w:marRight w:val="0"/>
      <w:marTop w:val="0"/>
      <w:marBottom w:val="0"/>
      <w:divBdr>
        <w:top w:val="none" w:sz="0" w:space="0" w:color="auto"/>
        <w:left w:val="none" w:sz="0" w:space="0" w:color="auto"/>
        <w:bottom w:val="none" w:sz="0" w:space="0" w:color="auto"/>
        <w:right w:val="none" w:sz="0" w:space="0" w:color="auto"/>
      </w:divBdr>
    </w:div>
    <w:div w:id="1190604924">
      <w:bodyDiv w:val="1"/>
      <w:marLeft w:val="0"/>
      <w:marRight w:val="0"/>
      <w:marTop w:val="0"/>
      <w:marBottom w:val="0"/>
      <w:divBdr>
        <w:top w:val="none" w:sz="0" w:space="0" w:color="auto"/>
        <w:left w:val="none" w:sz="0" w:space="0" w:color="auto"/>
        <w:bottom w:val="none" w:sz="0" w:space="0" w:color="auto"/>
        <w:right w:val="none" w:sz="0" w:space="0" w:color="auto"/>
      </w:divBdr>
    </w:div>
    <w:div w:id="1192647925">
      <w:bodyDiv w:val="1"/>
      <w:marLeft w:val="0"/>
      <w:marRight w:val="0"/>
      <w:marTop w:val="0"/>
      <w:marBottom w:val="0"/>
      <w:divBdr>
        <w:top w:val="none" w:sz="0" w:space="0" w:color="auto"/>
        <w:left w:val="none" w:sz="0" w:space="0" w:color="auto"/>
        <w:bottom w:val="none" w:sz="0" w:space="0" w:color="auto"/>
        <w:right w:val="none" w:sz="0" w:space="0" w:color="auto"/>
      </w:divBdr>
    </w:div>
    <w:div w:id="1206991995">
      <w:bodyDiv w:val="1"/>
      <w:marLeft w:val="0"/>
      <w:marRight w:val="0"/>
      <w:marTop w:val="0"/>
      <w:marBottom w:val="0"/>
      <w:divBdr>
        <w:top w:val="none" w:sz="0" w:space="0" w:color="auto"/>
        <w:left w:val="none" w:sz="0" w:space="0" w:color="auto"/>
        <w:bottom w:val="none" w:sz="0" w:space="0" w:color="auto"/>
        <w:right w:val="none" w:sz="0" w:space="0" w:color="auto"/>
      </w:divBdr>
    </w:div>
    <w:div w:id="1208571597">
      <w:bodyDiv w:val="1"/>
      <w:marLeft w:val="0"/>
      <w:marRight w:val="0"/>
      <w:marTop w:val="0"/>
      <w:marBottom w:val="0"/>
      <w:divBdr>
        <w:top w:val="none" w:sz="0" w:space="0" w:color="auto"/>
        <w:left w:val="none" w:sz="0" w:space="0" w:color="auto"/>
        <w:bottom w:val="none" w:sz="0" w:space="0" w:color="auto"/>
        <w:right w:val="none" w:sz="0" w:space="0" w:color="auto"/>
      </w:divBdr>
    </w:div>
    <w:div w:id="1210458817">
      <w:bodyDiv w:val="1"/>
      <w:marLeft w:val="0"/>
      <w:marRight w:val="0"/>
      <w:marTop w:val="0"/>
      <w:marBottom w:val="0"/>
      <w:divBdr>
        <w:top w:val="none" w:sz="0" w:space="0" w:color="auto"/>
        <w:left w:val="none" w:sz="0" w:space="0" w:color="auto"/>
        <w:bottom w:val="none" w:sz="0" w:space="0" w:color="auto"/>
        <w:right w:val="none" w:sz="0" w:space="0" w:color="auto"/>
      </w:divBdr>
      <w:divsChild>
        <w:div w:id="783891165">
          <w:marLeft w:val="360"/>
          <w:marRight w:val="0"/>
          <w:marTop w:val="240"/>
          <w:marBottom w:val="0"/>
          <w:divBdr>
            <w:top w:val="none" w:sz="0" w:space="0" w:color="auto"/>
            <w:left w:val="none" w:sz="0" w:space="0" w:color="auto"/>
            <w:bottom w:val="none" w:sz="0" w:space="0" w:color="auto"/>
            <w:right w:val="none" w:sz="0" w:space="0" w:color="auto"/>
          </w:divBdr>
        </w:div>
      </w:divsChild>
    </w:div>
    <w:div w:id="1215775042">
      <w:bodyDiv w:val="1"/>
      <w:marLeft w:val="0"/>
      <w:marRight w:val="0"/>
      <w:marTop w:val="0"/>
      <w:marBottom w:val="0"/>
      <w:divBdr>
        <w:top w:val="none" w:sz="0" w:space="0" w:color="auto"/>
        <w:left w:val="none" w:sz="0" w:space="0" w:color="auto"/>
        <w:bottom w:val="none" w:sz="0" w:space="0" w:color="auto"/>
        <w:right w:val="none" w:sz="0" w:space="0" w:color="auto"/>
      </w:divBdr>
    </w:div>
    <w:div w:id="1216048227">
      <w:bodyDiv w:val="1"/>
      <w:marLeft w:val="0"/>
      <w:marRight w:val="0"/>
      <w:marTop w:val="0"/>
      <w:marBottom w:val="0"/>
      <w:divBdr>
        <w:top w:val="none" w:sz="0" w:space="0" w:color="auto"/>
        <w:left w:val="none" w:sz="0" w:space="0" w:color="auto"/>
        <w:bottom w:val="none" w:sz="0" w:space="0" w:color="auto"/>
        <w:right w:val="none" w:sz="0" w:space="0" w:color="auto"/>
      </w:divBdr>
    </w:div>
    <w:div w:id="1216358108">
      <w:bodyDiv w:val="1"/>
      <w:marLeft w:val="0"/>
      <w:marRight w:val="0"/>
      <w:marTop w:val="0"/>
      <w:marBottom w:val="0"/>
      <w:divBdr>
        <w:top w:val="none" w:sz="0" w:space="0" w:color="auto"/>
        <w:left w:val="none" w:sz="0" w:space="0" w:color="auto"/>
        <w:bottom w:val="none" w:sz="0" w:space="0" w:color="auto"/>
        <w:right w:val="none" w:sz="0" w:space="0" w:color="auto"/>
      </w:divBdr>
    </w:div>
    <w:div w:id="1217467381">
      <w:bodyDiv w:val="1"/>
      <w:marLeft w:val="0"/>
      <w:marRight w:val="0"/>
      <w:marTop w:val="0"/>
      <w:marBottom w:val="0"/>
      <w:divBdr>
        <w:top w:val="none" w:sz="0" w:space="0" w:color="auto"/>
        <w:left w:val="none" w:sz="0" w:space="0" w:color="auto"/>
        <w:bottom w:val="none" w:sz="0" w:space="0" w:color="auto"/>
        <w:right w:val="none" w:sz="0" w:space="0" w:color="auto"/>
      </w:divBdr>
    </w:div>
    <w:div w:id="1218398504">
      <w:bodyDiv w:val="1"/>
      <w:marLeft w:val="0"/>
      <w:marRight w:val="0"/>
      <w:marTop w:val="0"/>
      <w:marBottom w:val="0"/>
      <w:divBdr>
        <w:top w:val="none" w:sz="0" w:space="0" w:color="auto"/>
        <w:left w:val="none" w:sz="0" w:space="0" w:color="auto"/>
        <w:bottom w:val="none" w:sz="0" w:space="0" w:color="auto"/>
        <w:right w:val="none" w:sz="0" w:space="0" w:color="auto"/>
      </w:divBdr>
    </w:div>
    <w:div w:id="1219125112">
      <w:bodyDiv w:val="1"/>
      <w:marLeft w:val="0"/>
      <w:marRight w:val="0"/>
      <w:marTop w:val="0"/>
      <w:marBottom w:val="0"/>
      <w:divBdr>
        <w:top w:val="none" w:sz="0" w:space="0" w:color="auto"/>
        <w:left w:val="none" w:sz="0" w:space="0" w:color="auto"/>
        <w:bottom w:val="none" w:sz="0" w:space="0" w:color="auto"/>
        <w:right w:val="none" w:sz="0" w:space="0" w:color="auto"/>
      </w:divBdr>
    </w:div>
    <w:div w:id="1219240234">
      <w:bodyDiv w:val="1"/>
      <w:marLeft w:val="0"/>
      <w:marRight w:val="0"/>
      <w:marTop w:val="0"/>
      <w:marBottom w:val="0"/>
      <w:divBdr>
        <w:top w:val="none" w:sz="0" w:space="0" w:color="auto"/>
        <w:left w:val="none" w:sz="0" w:space="0" w:color="auto"/>
        <w:bottom w:val="none" w:sz="0" w:space="0" w:color="auto"/>
        <w:right w:val="none" w:sz="0" w:space="0" w:color="auto"/>
      </w:divBdr>
    </w:div>
    <w:div w:id="1219438402">
      <w:bodyDiv w:val="1"/>
      <w:marLeft w:val="0"/>
      <w:marRight w:val="0"/>
      <w:marTop w:val="0"/>
      <w:marBottom w:val="0"/>
      <w:divBdr>
        <w:top w:val="none" w:sz="0" w:space="0" w:color="auto"/>
        <w:left w:val="none" w:sz="0" w:space="0" w:color="auto"/>
        <w:bottom w:val="none" w:sz="0" w:space="0" w:color="auto"/>
        <w:right w:val="none" w:sz="0" w:space="0" w:color="auto"/>
      </w:divBdr>
    </w:div>
    <w:div w:id="1219786150">
      <w:bodyDiv w:val="1"/>
      <w:marLeft w:val="0"/>
      <w:marRight w:val="0"/>
      <w:marTop w:val="0"/>
      <w:marBottom w:val="0"/>
      <w:divBdr>
        <w:top w:val="none" w:sz="0" w:space="0" w:color="auto"/>
        <w:left w:val="none" w:sz="0" w:space="0" w:color="auto"/>
        <w:bottom w:val="none" w:sz="0" w:space="0" w:color="auto"/>
        <w:right w:val="none" w:sz="0" w:space="0" w:color="auto"/>
      </w:divBdr>
    </w:div>
    <w:div w:id="1219822540">
      <w:bodyDiv w:val="1"/>
      <w:marLeft w:val="0"/>
      <w:marRight w:val="0"/>
      <w:marTop w:val="0"/>
      <w:marBottom w:val="0"/>
      <w:divBdr>
        <w:top w:val="none" w:sz="0" w:space="0" w:color="auto"/>
        <w:left w:val="none" w:sz="0" w:space="0" w:color="auto"/>
        <w:bottom w:val="none" w:sz="0" w:space="0" w:color="auto"/>
        <w:right w:val="none" w:sz="0" w:space="0" w:color="auto"/>
      </w:divBdr>
    </w:div>
    <w:div w:id="1220900475">
      <w:bodyDiv w:val="1"/>
      <w:marLeft w:val="0"/>
      <w:marRight w:val="0"/>
      <w:marTop w:val="0"/>
      <w:marBottom w:val="0"/>
      <w:divBdr>
        <w:top w:val="none" w:sz="0" w:space="0" w:color="auto"/>
        <w:left w:val="none" w:sz="0" w:space="0" w:color="auto"/>
        <w:bottom w:val="none" w:sz="0" w:space="0" w:color="auto"/>
        <w:right w:val="none" w:sz="0" w:space="0" w:color="auto"/>
      </w:divBdr>
    </w:div>
    <w:div w:id="1222136948">
      <w:bodyDiv w:val="1"/>
      <w:marLeft w:val="0"/>
      <w:marRight w:val="0"/>
      <w:marTop w:val="0"/>
      <w:marBottom w:val="0"/>
      <w:divBdr>
        <w:top w:val="none" w:sz="0" w:space="0" w:color="auto"/>
        <w:left w:val="none" w:sz="0" w:space="0" w:color="auto"/>
        <w:bottom w:val="none" w:sz="0" w:space="0" w:color="auto"/>
        <w:right w:val="none" w:sz="0" w:space="0" w:color="auto"/>
      </w:divBdr>
    </w:div>
    <w:div w:id="1225405989">
      <w:bodyDiv w:val="1"/>
      <w:marLeft w:val="0"/>
      <w:marRight w:val="0"/>
      <w:marTop w:val="0"/>
      <w:marBottom w:val="0"/>
      <w:divBdr>
        <w:top w:val="none" w:sz="0" w:space="0" w:color="auto"/>
        <w:left w:val="none" w:sz="0" w:space="0" w:color="auto"/>
        <w:bottom w:val="none" w:sz="0" w:space="0" w:color="auto"/>
        <w:right w:val="none" w:sz="0" w:space="0" w:color="auto"/>
      </w:divBdr>
    </w:div>
    <w:div w:id="1225599622">
      <w:bodyDiv w:val="1"/>
      <w:marLeft w:val="0"/>
      <w:marRight w:val="0"/>
      <w:marTop w:val="0"/>
      <w:marBottom w:val="0"/>
      <w:divBdr>
        <w:top w:val="none" w:sz="0" w:space="0" w:color="auto"/>
        <w:left w:val="none" w:sz="0" w:space="0" w:color="auto"/>
        <w:bottom w:val="none" w:sz="0" w:space="0" w:color="auto"/>
        <w:right w:val="none" w:sz="0" w:space="0" w:color="auto"/>
      </w:divBdr>
    </w:div>
    <w:div w:id="1227691031">
      <w:bodyDiv w:val="1"/>
      <w:marLeft w:val="0"/>
      <w:marRight w:val="0"/>
      <w:marTop w:val="0"/>
      <w:marBottom w:val="0"/>
      <w:divBdr>
        <w:top w:val="none" w:sz="0" w:space="0" w:color="auto"/>
        <w:left w:val="none" w:sz="0" w:space="0" w:color="auto"/>
        <w:bottom w:val="none" w:sz="0" w:space="0" w:color="auto"/>
        <w:right w:val="none" w:sz="0" w:space="0" w:color="auto"/>
      </w:divBdr>
    </w:div>
    <w:div w:id="1230923228">
      <w:bodyDiv w:val="1"/>
      <w:marLeft w:val="0"/>
      <w:marRight w:val="0"/>
      <w:marTop w:val="0"/>
      <w:marBottom w:val="0"/>
      <w:divBdr>
        <w:top w:val="none" w:sz="0" w:space="0" w:color="auto"/>
        <w:left w:val="none" w:sz="0" w:space="0" w:color="auto"/>
        <w:bottom w:val="none" w:sz="0" w:space="0" w:color="auto"/>
        <w:right w:val="none" w:sz="0" w:space="0" w:color="auto"/>
      </w:divBdr>
    </w:div>
    <w:div w:id="1231113671">
      <w:bodyDiv w:val="1"/>
      <w:marLeft w:val="0"/>
      <w:marRight w:val="0"/>
      <w:marTop w:val="0"/>
      <w:marBottom w:val="0"/>
      <w:divBdr>
        <w:top w:val="none" w:sz="0" w:space="0" w:color="auto"/>
        <w:left w:val="none" w:sz="0" w:space="0" w:color="auto"/>
        <w:bottom w:val="none" w:sz="0" w:space="0" w:color="auto"/>
        <w:right w:val="none" w:sz="0" w:space="0" w:color="auto"/>
      </w:divBdr>
    </w:div>
    <w:div w:id="1231304235">
      <w:bodyDiv w:val="1"/>
      <w:marLeft w:val="0"/>
      <w:marRight w:val="0"/>
      <w:marTop w:val="0"/>
      <w:marBottom w:val="0"/>
      <w:divBdr>
        <w:top w:val="none" w:sz="0" w:space="0" w:color="auto"/>
        <w:left w:val="none" w:sz="0" w:space="0" w:color="auto"/>
        <w:bottom w:val="none" w:sz="0" w:space="0" w:color="auto"/>
        <w:right w:val="none" w:sz="0" w:space="0" w:color="auto"/>
      </w:divBdr>
    </w:div>
    <w:div w:id="1233588935">
      <w:bodyDiv w:val="1"/>
      <w:marLeft w:val="0"/>
      <w:marRight w:val="0"/>
      <w:marTop w:val="0"/>
      <w:marBottom w:val="0"/>
      <w:divBdr>
        <w:top w:val="none" w:sz="0" w:space="0" w:color="auto"/>
        <w:left w:val="none" w:sz="0" w:space="0" w:color="auto"/>
        <w:bottom w:val="none" w:sz="0" w:space="0" w:color="auto"/>
        <w:right w:val="none" w:sz="0" w:space="0" w:color="auto"/>
      </w:divBdr>
    </w:div>
    <w:div w:id="1234048700">
      <w:bodyDiv w:val="1"/>
      <w:marLeft w:val="0"/>
      <w:marRight w:val="0"/>
      <w:marTop w:val="0"/>
      <w:marBottom w:val="0"/>
      <w:divBdr>
        <w:top w:val="none" w:sz="0" w:space="0" w:color="auto"/>
        <w:left w:val="none" w:sz="0" w:space="0" w:color="auto"/>
        <w:bottom w:val="none" w:sz="0" w:space="0" w:color="auto"/>
        <w:right w:val="none" w:sz="0" w:space="0" w:color="auto"/>
      </w:divBdr>
    </w:div>
    <w:div w:id="1234317002">
      <w:bodyDiv w:val="1"/>
      <w:marLeft w:val="0"/>
      <w:marRight w:val="0"/>
      <w:marTop w:val="0"/>
      <w:marBottom w:val="0"/>
      <w:divBdr>
        <w:top w:val="none" w:sz="0" w:space="0" w:color="auto"/>
        <w:left w:val="none" w:sz="0" w:space="0" w:color="auto"/>
        <w:bottom w:val="none" w:sz="0" w:space="0" w:color="auto"/>
        <w:right w:val="none" w:sz="0" w:space="0" w:color="auto"/>
      </w:divBdr>
    </w:div>
    <w:div w:id="1235360540">
      <w:bodyDiv w:val="1"/>
      <w:marLeft w:val="0"/>
      <w:marRight w:val="0"/>
      <w:marTop w:val="0"/>
      <w:marBottom w:val="0"/>
      <w:divBdr>
        <w:top w:val="none" w:sz="0" w:space="0" w:color="auto"/>
        <w:left w:val="none" w:sz="0" w:space="0" w:color="auto"/>
        <w:bottom w:val="none" w:sz="0" w:space="0" w:color="auto"/>
        <w:right w:val="none" w:sz="0" w:space="0" w:color="auto"/>
      </w:divBdr>
    </w:div>
    <w:div w:id="1236478460">
      <w:bodyDiv w:val="1"/>
      <w:marLeft w:val="0"/>
      <w:marRight w:val="0"/>
      <w:marTop w:val="0"/>
      <w:marBottom w:val="0"/>
      <w:divBdr>
        <w:top w:val="none" w:sz="0" w:space="0" w:color="auto"/>
        <w:left w:val="none" w:sz="0" w:space="0" w:color="auto"/>
        <w:bottom w:val="none" w:sz="0" w:space="0" w:color="auto"/>
        <w:right w:val="none" w:sz="0" w:space="0" w:color="auto"/>
      </w:divBdr>
    </w:div>
    <w:div w:id="1237518490">
      <w:bodyDiv w:val="1"/>
      <w:marLeft w:val="0"/>
      <w:marRight w:val="0"/>
      <w:marTop w:val="0"/>
      <w:marBottom w:val="0"/>
      <w:divBdr>
        <w:top w:val="none" w:sz="0" w:space="0" w:color="auto"/>
        <w:left w:val="none" w:sz="0" w:space="0" w:color="auto"/>
        <w:bottom w:val="none" w:sz="0" w:space="0" w:color="auto"/>
        <w:right w:val="none" w:sz="0" w:space="0" w:color="auto"/>
      </w:divBdr>
    </w:div>
    <w:div w:id="1239055932">
      <w:bodyDiv w:val="1"/>
      <w:marLeft w:val="0"/>
      <w:marRight w:val="0"/>
      <w:marTop w:val="0"/>
      <w:marBottom w:val="0"/>
      <w:divBdr>
        <w:top w:val="none" w:sz="0" w:space="0" w:color="auto"/>
        <w:left w:val="none" w:sz="0" w:space="0" w:color="auto"/>
        <w:bottom w:val="none" w:sz="0" w:space="0" w:color="auto"/>
        <w:right w:val="none" w:sz="0" w:space="0" w:color="auto"/>
      </w:divBdr>
    </w:div>
    <w:div w:id="1242255238">
      <w:bodyDiv w:val="1"/>
      <w:marLeft w:val="0"/>
      <w:marRight w:val="0"/>
      <w:marTop w:val="0"/>
      <w:marBottom w:val="0"/>
      <w:divBdr>
        <w:top w:val="none" w:sz="0" w:space="0" w:color="auto"/>
        <w:left w:val="none" w:sz="0" w:space="0" w:color="auto"/>
        <w:bottom w:val="none" w:sz="0" w:space="0" w:color="auto"/>
        <w:right w:val="none" w:sz="0" w:space="0" w:color="auto"/>
      </w:divBdr>
    </w:div>
    <w:div w:id="1244216128">
      <w:bodyDiv w:val="1"/>
      <w:marLeft w:val="0"/>
      <w:marRight w:val="0"/>
      <w:marTop w:val="0"/>
      <w:marBottom w:val="0"/>
      <w:divBdr>
        <w:top w:val="none" w:sz="0" w:space="0" w:color="auto"/>
        <w:left w:val="none" w:sz="0" w:space="0" w:color="auto"/>
        <w:bottom w:val="none" w:sz="0" w:space="0" w:color="auto"/>
        <w:right w:val="none" w:sz="0" w:space="0" w:color="auto"/>
      </w:divBdr>
    </w:div>
    <w:div w:id="1244486798">
      <w:bodyDiv w:val="1"/>
      <w:marLeft w:val="0"/>
      <w:marRight w:val="0"/>
      <w:marTop w:val="0"/>
      <w:marBottom w:val="0"/>
      <w:divBdr>
        <w:top w:val="none" w:sz="0" w:space="0" w:color="auto"/>
        <w:left w:val="none" w:sz="0" w:space="0" w:color="auto"/>
        <w:bottom w:val="none" w:sz="0" w:space="0" w:color="auto"/>
        <w:right w:val="none" w:sz="0" w:space="0" w:color="auto"/>
      </w:divBdr>
    </w:div>
    <w:div w:id="1248883403">
      <w:bodyDiv w:val="1"/>
      <w:marLeft w:val="0"/>
      <w:marRight w:val="0"/>
      <w:marTop w:val="0"/>
      <w:marBottom w:val="0"/>
      <w:divBdr>
        <w:top w:val="none" w:sz="0" w:space="0" w:color="auto"/>
        <w:left w:val="none" w:sz="0" w:space="0" w:color="auto"/>
        <w:bottom w:val="none" w:sz="0" w:space="0" w:color="auto"/>
        <w:right w:val="none" w:sz="0" w:space="0" w:color="auto"/>
      </w:divBdr>
    </w:div>
    <w:div w:id="1256091046">
      <w:bodyDiv w:val="1"/>
      <w:marLeft w:val="0"/>
      <w:marRight w:val="0"/>
      <w:marTop w:val="0"/>
      <w:marBottom w:val="0"/>
      <w:divBdr>
        <w:top w:val="none" w:sz="0" w:space="0" w:color="auto"/>
        <w:left w:val="none" w:sz="0" w:space="0" w:color="auto"/>
        <w:bottom w:val="none" w:sz="0" w:space="0" w:color="auto"/>
        <w:right w:val="none" w:sz="0" w:space="0" w:color="auto"/>
      </w:divBdr>
    </w:div>
    <w:div w:id="1256791062">
      <w:bodyDiv w:val="1"/>
      <w:marLeft w:val="0"/>
      <w:marRight w:val="0"/>
      <w:marTop w:val="0"/>
      <w:marBottom w:val="0"/>
      <w:divBdr>
        <w:top w:val="none" w:sz="0" w:space="0" w:color="auto"/>
        <w:left w:val="none" w:sz="0" w:space="0" w:color="auto"/>
        <w:bottom w:val="none" w:sz="0" w:space="0" w:color="auto"/>
        <w:right w:val="none" w:sz="0" w:space="0" w:color="auto"/>
      </w:divBdr>
    </w:div>
    <w:div w:id="1257178708">
      <w:bodyDiv w:val="1"/>
      <w:marLeft w:val="0"/>
      <w:marRight w:val="0"/>
      <w:marTop w:val="0"/>
      <w:marBottom w:val="0"/>
      <w:divBdr>
        <w:top w:val="none" w:sz="0" w:space="0" w:color="auto"/>
        <w:left w:val="none" w:sz="0" w:space="0" w:color="auto"/>
        <w:bottom w:val="none" w:sz="0" w:space="0" w:color="auto"/>
        <w:right w:val="none" w:sz="0" w:space="0" w:color="auto"/>
      </w:divBdr>
    </w:div>
    <w:div w:id="1258322153">
      <w:bodyDiv w:val="1"/>
      <w:marLeft w:val="0"/>
      <w:marRight w:val="0"/>
      <w:marTop w:val="0"/>
      <w:marBottom w:val="0"/>
      <w:divBdr>
        <w:top w:val="none" w:sz="0" w:space="0" w:color="auto"/>
        <w:left w:val="none" w:sz="0" w:space="0" w:color="auto"/>
        <w:bottom w:val="none" w:sz="0" w:space="0" w:color="auto"/>
        <w:right w:val="none" w:sz="0" w:space="0" w:color="auto"/>
      </w:divBdr>
    </w:div>
    <w:div w:id="1264418669">
      <w:bodyDiv w:val="1"/>
      <w:marLeft w:val="0"/>
      <w:marRight w:val="0"/>
      <w:marTop w:val="0"/>
      <w:marBottom w:val="0"/>
      <w:divBdr>
        <w:top w:val="none" w:sz="0" w:space="0" w:color="auto"/>
        <w:left w:val="none" w:sz="0" w:space="0" w:color="auto"/>
        <w:bottom w:val="none" w:sz="0" w:space="0" w:color="auto"/>
        <w:right w:val="none" w:sz="0" w:space="0" w:color="auto"/>
      </w:divBdr>
    </w:div>
    <w:div w:id="1265847850">
      <w:bodyDiv w:val="1"/>
      <w:marLeft w:val="0"/>
      <w:marRight w:val="0"/>
      <w:marTop w:val="0"/>
      <w:marBottom w:val="0"/>
      <w:divBdr>
        <w:top w:val="none" w:sz="0" w:space="0" w:color="auto"/>
        <w:left w:val="none" w:sz="0" w:space="0" w:color="auto"/>
        <w:bottom w:val="none" w:sz="0" w:space="0" w:color="auto"/>
        <w:right w:val="none" w:sz="0" w:space="0" w:color="auto"/>
      </w:divBdr>
    </w:div>
    <w:div w:id="1267690943">
      <w:bodyDiv w:val="1"/>
      <w:marLeft w:val="0"/>
      <w:marRight w:val="0"/>
      <w:marTop w:val="0"/>
      <w:marBottom w:val="0"/>
      <w:divBdr>
        <w:top w:val="none" w:sz="0" w:space="0" w:color="auto"/>
        <w:left w:val="none" w:sz="0" w:space="0" w:color="auto"/>
        <w:bottom w:val="none" w:sz="0" w:space="0" w:color="auto"/>
        <w:right w:val="none" w:sz="0" w:space="0" w:color="auto"/>
      </w:divBdr>
    </w:div>
    <w:div w:id="1268151905">
      <w:bodyDiv w:val="1"/>
      <w:marLeft w:val="0"/>
      <w:marRight w:val="0"/>
      <w:marTop w:val="0"/>
      <w:marBottom w:val="0"/>
      <w:divBdr>
        <w:top w:val="none" w:sz="0" w:space="0" w:color="auto"/>
        <w:left w:val="none" w:sz="0" w:space="0" w:color="auto"/>
        <w:bottom w:val="none" w:sz="0" w:space="0" w:color="auto"/>
        <w:right w:val="none" w:sz="0" w:space="0" w:color="auto"/>
      </w:divBdr>
    </w:div>
    <w:div w:id="1272784755">
      <w:bodyDiv w:val="1"/>
      <w:marLeft w:val="0"/>
      <w:marRight w:val="0"/>
      <w:marTop w:val="0"/>
      <w:marBottom w:val="0"/>
      <w:divBdr>
        <w:top w:val="none" w:sz="0" w:space="0" w:color="auto"/>
        <w:left w:val="none" w:sz="0" w:space="0" w:color="auto"/>
        <w:bottom w:val="none" w:sz="0" w:space="0" w:color="auto"/>
        <w:right w:val="none" w:sz="0" w:space="0" w:color="auto"/>
      </w:divBdr>
    </w:div>
    <w:div w:id="1275212975">
      <w:bodyDiv w:val="1"/>
      <w:marLeft w:val="0"/>
      <w:marRight w:val="0"/>
      <w:marTop w:val="0"/>
      <w:marBottom w:val="0"/>
      <w:divBdr>
        <w:top w:val="none" w:sz="0" w:space="0" w:color="auto"/>
        <w:left w:val="none" w:sz="0" w:space="0" w:color="auto"/>
        <w:bottom w:val="none" w:sz="0" w:space="0" w:color="auto"/>
        <w:right w:val="none" w:sz="0" w:space="0" w:color="auto"/>
      </w:divBdr>
    </w:div>
    <w:div w:id="1275672411">
      <w:bodyDiv w:val="1"/>
      <w:marLeft w:val="0"/>
      <w:marRight w:val="0"/>
      <w:marTop w:val="0"/>
      <w:marBottom w:val="0"/>
      <w:divBdr>
        <w:top w:val="none" w:sz="0" w:space="0" w:color="auto"/>
        <w:left w:val="none" w:sz="0" w:space="0" w:color="auto"/>
        <w:bottom w:val="none" w:sz="0" w:space="0" w:color="auto"/>
        <w:right w:val="none" w:sz="0" w:space="0" w:color="auto"/>
      </w:divBdr>
    </w:div>
    <w:div w:id="1282036144">
      <w:bodyDiv w:val="1"/>
      <w:marLeft w:val="0"/>
      <w:marRight w:val="0"/>
      <w:marTop w:val="0"/>
      <w:marBottom w:val="0"/>
      <w:divBdr>
        <w:top w:val="none" w:sz="0" w:space="0" w:color="auto"/>
        <w:left w:val="none" w:sz="0" w:space="0" w:color="auto"/>
        <w:bottom w:val="none" w:sz="0" w:space="0" w:color="auto"/>
        <w:right w:val="none" w:sz="0" w:space="0" w:color="auto"/>
      </w:divBdr>
    </w:div>
    <w:div w:id="1282805390">
      <w:bodyDiv w:val="1"/>
      <w:marLeft w:val="0"/>
      <w:marRight w:val="0"/>
      <w:marTop w:val="0"/>
      <w:marBottom w:val="0"/>
      <w:divBdr>
        <w:top w:val="none" w:sz="0" w:space="0" w:color="auto"/>
        <w:left w:val="none" w:sz="0" w:space="0" w:color="auto"/>
        <w:bottom w:val="none" w:sz="0" w:space="0" w:color="auto"/>
        <w:right w:val="none" w:sz="0" w:space="0" w:color="auto"/>
      </w:divBdr>
    </w:div>
    <w:div w:id="1284920407">
      <w:bodyDiv w:val="1"/>
      <w:marLeft w:val="0"/>
      <w:marRight w:val="0"/>
      <w:marTop w:val="0"/>
      <w:marBottom w:val="0"/>
      <w:divBdr>
        <w:top w:val="none" w:sz="0" w:space="0" w:color="auto"/>
        <w:left w:val="none" w:sz="0" w:space="0" w:color="auto"/>
        <w:bottom w:val="none" w:sz="0" w:space="0" w:color="auto"/>
        <w:right w:val="none" w:sz="0" w:space="0" w:color="auto"/>
      </w:divBdr>
    </w:div>
    <w:div w:id="1285428504">
      <w:bodyDiv w:val="1"/>
      <w:marLeft w:val="0"/>
      <w:marRight w:val="0"/>
      <w:marTop w:val="0"/>
      <w:marBottom w:val="0"/>
      <w:divBdr>
        <w:top w:val="none" w:sz="0" w:space="0" w:color="auto"/>
        <w:left w:val="none" w:sz="0" w:space="0" w:color="auto"/>
        <w:bottom w:val="none" w:sz="0" w:space="0" w:color="auto"/>
        <w:right w:val="none" w:sz="0" w:space="0" w:color="auto"/>
      </w:divBdr>
    </w:div>
    <w:div w:id="1286540188">
      <w:bodyDiv w:val="1"/>
      <w:marLeft w:val="0"/>
      <w:marRight w:val="0"/>
      <w:marTop w:val="0"/>
      <w:marBottom w:val="0"/>
      <w:divBdr>
        <w:top w:val="none" w:sz="0" w:space="0" w:color="auto"/>
        <w:left w:val="none" w:sz="0" w:space="0" w:color="auto"/>
        <w:bottom w:val="none" w:sz="0" w:space="0" w:color="auto"/>
        <w:right w:val="none" w:sz="0" w:space="0" w:color="auto"/>
      </w:divBdr>
    </w:div>
    <w:div w:id="1288850386">
      <w:bodyDiv w:val="1"/>
      <w:marLeft w:val="0"/>
      <w:marRight w:val="0"/>
      <w:marTop w:val="0"/>
      <w:marBottom w:val="0"/>
      <w:divBdr>
        <w:top w:val="none" w:sz="0" w:space="0" w:color="auto"/>
        <w:left w:val="none" w:sz="0" w:space="0" w:color="auto"/>
        <w:bottom w:val="none" w:sz="0" w:space="0" w:color="auto"/>
        <w:right w:val="none" w:sz="0" w:space="0" w:color="auto"/>
      </w:divBdr>
    </w:div>
    <w:div w:id="1289244890">
      <w:bodyDiv w:val="1"/>
      <w:marLeft w:val="0"/>
      <w:marRight w:val="0"/>
      <w:marTop w:val="0"/>
      <w:marBottom w:val="0"/>
      <w:divBdr>
        <w:top w:val="none" w:sz="0" w:space="0" w:color="auto"/>
        <w:left w:val="none" w:sz="0" w:space="0" w:color="auto"/>
        <w:bottom w:val="none" w:sz="0" w:space="0" w:color="auto"/>
        <w:right w:val="none" w:sz="0" w:space="0" w:color="auto"/>
      </w:divBdr>
    </w:div>
    <w:div w:id="1290161927">
      <w:bodyDiv w:val="1"/>
      <w:marLeft w:val="0"/>
      <w:marRight w:val="0"/>
      <w:marTop w:val="0"/>
      <w:marBottom w:val="0"/>
      <w:divBdr>
        <w:top w:val="none" w:sz="0" w:space="0" w:color="auto"/>
        <w:left w:val="none" w:sz="0" w:space="0" w:color="auto"/>
        <w:bottom w:val="none" w:sz="0" w:space="0" w:color="auto"/>
        <w:right w:val="none" w:sz="0" w:space="0" w:color="auto"/>
      </w:divBdr>
    </w:div>
    <w:div w:id="1291284113">
      <w:bodyDiv w:val="1"/>
      <w:marLeft w:val="0"/>
      <w:marRight w:val="0"/>
      <w:marTop w:val="0"/>
      <w:marBottom w:val="0"/>
      <w:divBdr>
        <w:top w:val="none" w:sz="0" w:space="0" w:color="auto"/>
        <w:left w:val="none" w:sz="0" w:space="0" w:color="auto"/>
        <w:bottom w:val="none" w:sz="0" w:space="0" w:color="auto"/>
        <w:right w:val="none" w:sz="0" w:space="0" w:color="auto"/>
      </w:divBdr>
    </w:div>
    <w:div w:id="1294364561">
      <w:bodyDiv w:val="1"/>
      <w:marLeft w:val="0"/>
      <w:marRight w:val="0"/>
      <w:marTop w:val="0"/>
      <w:marBottom w:val="0"/>
      <w:divBdr>
        <w:top w:val="none" w:sz="0" w:space="0" w:color="auto"/>
        <w:left w:val="none" w:sz="0" w:space="0" w:color="auto"/>
        <w:bottom w:val="none" w:sz="0" w:space="0" w:color="auto"/>
        <w:right w:val="none" w:sz="0" w:space="0" w:color="auto"/>
      </w:divBdr>
    </w:div>
    <w:div w:id="1295406598">
      <w:bodyDiv w:val="1"/>
      <w:marLeft w:val="0"/>
      <w:marRight w:val="0"/>
      <w:marTop w:val="0"/>
      <w:marBottom w:val="0"/>
      <w:divBdr>
        <w:top w:val="none" w:sz="0" w:space="0" w:color="auto"/>
        <w:left w:val="none" w:sz="0" w:space="0" w:color="auto"/>
        <w:bottom w:val="none" w:sz="0" w:space="0" w:color="auto"/>
        <w:right w:val="none" w:sz="0" w:space="0" w:color="auto"/>
      </w:divBdr>
    </w:div>
    <w:div w:id="1297249648">
      <w:bodyDiv w:val="1"/>
      <w:marLeft w:val="0"/>
      <w:marRight w:val="0"/>
      <w:marTop w:val="0"/>
      <w:marBottom w:val="0"/>
      <w:divBdr>
        <w:top w:val="none" w:sz="0" w:space="0" w:color="auto"/>
        <w:left w:val="none" w:sz="0" w:space="0" w:color="auto"/>
        <w:bottom w:val="none" w:sz="0" w:space="0" w:color="auto"/>
        <w:right w:val="none" w:sz="0" w:space="0" w:color="auto"/>
      </w:divBdr>
    </w:div>
    <w:div w:id="1297947603">
      <w:bodyDiv w:val="1"/>
      <w:marLeft w:val="0"/>
      <w:marRight w:val="0"/>
      <w:marTop w:val="0"/>
      <w:marBottom w:val="0"/>
      <w:divBdr>
        <w:top w:val="none" w:sz="0" w:space="0" w:color="auto"/>
        <w:left w:val="none" w:sz="0" w:space="0" w:color="auto"/>
        <w:bottom w:val="none" w:sz="0" w:space="0" w:color="auto"/>
        <w:right w:val="none" w:sz="0" w:space="0" w:color="auto"/>
      </w:divBdr>
    </w:div>
    <w:div w:id="1297951157">
      <w:bodyDiv w:val="1"/>
      <w:marLeft w:val="0"/>
      <w:marRight w:val="0"/>
      <w:marTop w:val="0"/>
      <w:marBottom w:val="0"/>
      <w:divBdr>
        <w:top w:val="none" w:sz="0" w:space="0" w:color="auto"/>
        <w:left w:val="none" w:sz="0" w:space="0" w:color="auto"/>
        <w:bottom w:val="none" w:sz="0" w:space="0" w:color="auto"/>
        <w:right w:val="none" w:sz="0" w:space="0" w:color="auto"/>
      </w:divBdr>
    </w:div>
    <w:div w:id="1301424984">
      <w:bodyDiv w:val="1"/>
      <w:marLeft w:val="0"/>
      <w:marRight w:val="0"/>
      <w:marTop w:val="0"/>
      <w:marBottom w:val="0"/>
      <w:divBdr>
        <w:top w:val="none" w:sz="0" w:space="0" w:color="auto"/>
        <w:left w:val="none" w:sz="0" w:space="0" w:color="auto"/>
        <w:bottom w:val="none" w:sz="0" w:space="0" w:color="auto"/>
        <w:right w:val="none" w:sz="0" w:space="0" w:color="auto"/>
      </w:divBdr>
    </w:div>
    <w:div w:id="1303848719">
      <w:bodyDiv w:val="1"/>
      <w:marLeft w:val="0"/>
      <w:marRight w:val="0"/>
      <w:marTop w:val="0"/>
      <w:marBottom w:val="0"/>
      <w:divBdr>
        <w:top w:val="none" w:sz="0" w:space="0" w:color="auto"/>
        <w:left w:val="none" w:sz="0" w:space="0" w:color="auto"/>
        <w:bottom w:val="none" w:sz="0" w:space="0" w:color="auto"/>
        <w:right w:val="none" w:sz="0" w:space="0" w:color="auto"/>
      </w:divBdr>
    </w:div>
    <w:div w:id="1307082053">
      <w:bodyDiv w:val="1"/>
      <w:marLeft w:val="0"/>
      <w:marRight w:val="0"/>
      <w:marTop w:val="0"/>
      <w:marBottom w:val="0"/>
      <w:divBdr>
        <w:top w:val="none" w:sz="0" w:space="0" w:color="auto"/>
        <w:left w:val="none" w:sz="0" w:space="0" w:color="auto"/>
        <w:bottom w:val="none" w:sz="0" w:space="0" w:color="auto"/>
        <w:right w:val="none" w:sz="0" w:space="0" w:color="auto"/>
      </w:divBdr>
    </w:div>
    <w:div w:id="1318070169">
      <w:bodyDiv w:val="1"/>
      <w:marLeft w:val="0"/>
      <w:marRight w:val="0"/>
      <w:marTop w:val="0"/>
      <w:marBottom w:val="0"/>
      <w:divBdr>
        <w:top w:val="none" w:sz="0" w:space="0" w:color="auto"/>
        <w:left w:val="none" w:sz="0" w:space="0" w:color="auto"/>
        <w:bottom w:val="none" w:sz="0" w:space="0" w:color="auto"/>
        <w:right w:val="none" w:sz="0" w:space="0" w:color="auto"/>
      </w:divBdr>
    </w:div>
    <w:div w:id="1320109103">
      <w:bodyDiv w:val="1"/>
      <w:marLeft w:val="0"/>
      <w:marRight w:val="0"/>
      <w:marTop w:val="0"/>
      <w:marBottom w:val="0"/>
      <w:divBdr>
        <w:top w:val="none" w:sz="0" w:space="0" w:color="auto"/>
        <w:left w:val="none" w:sz="0" w:space="0" w:color="auto"/>
        <w:bottom w:val="none" w:sz="0" w:space="0" w:color="auto"/>
        <w:right w:val="none" w:sz="0" w:space="0" w:color="auto"/>
      </w:divBdr>
    </w:div>
    <w:div w:id="1321426085">
      <w:bodyDiv w:val="1"/>
      <w:marLeft w:val="0"/>
      <w:marRight w:val="0"/>
      <w:marTop w:val="0"/>
      <w:marBottom w:val="0"/>
      <w:divBdr>
        <w:top w:val="none" w:sz="0" w:space="0" w:color="auto"/>
        <w:left w:val="none" w:sz="0" w:space="0" w:color="auto"/>
        <w:bottom w:val="none" w:sz="0" w:space="0" w:color="auto"/>
        <w:right w:val="none" w:sz="0" w:space="0" w:color="auto"/>
      </w:divBdr>
    </w:div>
    <w:div w:id="1321926884">
      <w:bodyDiv w:val="1"/>
      <w:marLeft w:val="0"/>
      <w:marRight w:val="0"/>
      <w:marTop w:val="0"/>
      <w:marBottom w:val="0"/>
      <w:divBdr>
        <w:top w:val="none" w:sz="0" w:space="0" w:color="auto"/>
        <w:left w:val="none" w:sz="0" w:space="0" w:color="auto"/>
        <w:bottom w:val="none" w:sz="0" w:space="0" w:color="auto"/>
        <w:right w:val="none" w:sz="0" w:space="0" w:color="auto"/>
      </w:divBdr>
    </w:div>
    <w:div w:id="1325233203">
      <w:bodyDiv w:val="1"/>
      <w:marLeft w:val="0"/>
      <w:marRight w:val="0"/>
      <w:marTop w:val="0"/>
      <w:marBottom w:val="0"/>
      <w:divBdr>
        <w:top w:val="none" w:sz="0" w:space="0" w:color="auto"/>
        <w:left w:val="none" w:sz="0" w:space="0" w:color="auto"/>
        <w:bottom w:val="none" w:sz="0" w:space="0" w:color="auto"/>
        <w:right w:val="none" w:sz="0" w:space="0" w:color="auto"/>
      </w:divBdr>
    </w:div>
    <w:div w:id="1325739948">
      <w:bodyDiv w:val="1"/>
      <w:marLeft w:val="0"/>
      <w:marRight w:val="0"/>
      <w:marTop w:val="0"/>
      <w:marBottom w:val="0"/>
      <w:divBdr>
        <w:top w:val="none" w:sz="0" w:space="0" w:color="auto"/>
        <w:left w:val="none" w:sz="0" w:space="0" w:color="auto"/>
        <w:bottom w:val="none" w:sz="0" w:space="0" w:color="auto"/>
        <w:right w:val="none" w:sz="0" w:space="0" w:color="auto"/>
      </w:divBdr>
    </w:div>
    <w:div w:id="1326788965">
      <w:bodyDiv w:val="1"/>
      <w:marLeft w:val="0"/>
      <w:marRight w:val="0"/>
      <w:marTop w:val="0"/>
      <w:marBottom w:val="0"/>
      <w:divBdr>
        <w:top w:val="none" w:sz="0" w:space="0" w:color="auto"/>
        <w:left w:val="none" w:sz="0" w:space="0" w:color="auto"/>
        <w:bottom w:val="none" w:sz="0" w:space="0" w:color="auto"/>
        <w:right w:val="none" w:sz="0" w:space="0" w:color="auto"/>
      </w:divBdr>
    </w:div>
    <w:div w:id="1327586754">
      <w:bodyDiv w:val="1"/>
      <w:marLeft w:val="0"/>
      <w:marRight w:val="0"/>
      <w:marTop w:val="0"/>
      <w:marBottom w:val="0"/>
      <w:divBdr>
        <w:top w:val="none" w:sz="0" w:space="0" w:color="auto"/>
        <w:left w:val="none" w:sz="0" w:space="0" w:color="auto"/>
        <w:bottom w:val="none" w:sz="0" w:space="0" w:color="auto"/>
        <w:right w:val="none" w:sz="0" w:space="0" w:color="auto"/>
      </w:divBdr>
    </w:div>
    <w:div w:id="1328511564">
      <w:bodyDiv w:val="1"/>
      <w:marLeft w:val="0"/>
      <w:marRight w:val="0"/>
      <w:marTop w:val="0"/>
      <w:marBottom w:val="0"/>
      <w:divBdr>
        <w:top w:val="none" w:sz="0" w:space="0" w:color="auto"/>
        <w:left w:val="none" w:sz="0" w:space="0" w:color="auto"/>
        <w:bottom w:val="none" w:sz="0" w:space="0" w:color="auto"/>
        <w:right w:val="none" w:sz="0" w:space="0" w:color="auto"/>
      </w:divBdr>
    </w:div>
    <w:div w:id="1332372107">
      <w:bodyDiv w:val="1"/>
      <w:marLeft w:val="0"/>
      <w:marRight w:val="0"/>
      <w:marTop w:val="0"/>
      <w:marBottom w:val="0"/>
      <w:divBdr>
        <w:top w:val="none" w:sz="0" w:space="0" w:color="auto"/>
        <w:left w:val="none" w:sz="0" w:space="0" w:color="auto"/>
        <w:bottom w:val="none" w:sz="0" w:space="0" w:color="auto"/>
        <w:right w:val="none" w:sz="0" w:space="0" w:color="auto"/>
      </w:divBdr>
    </w:div>
    <w:div w:id="1340933075">
      <w:bodyDiv w:val="1"/>
      <w:marLeft w:val="0"/>
      <w:marRight w:val="0"/>
      <w:marTop w:val="0"/>
      <w:marBottom w:val="0"/>
      <w:divBdr>
        <w:top w:val="none" w:sz="0" w:space="0" w:color="auto"/>
        <w:left w:val="none" w:sz="0" w:space="0" w:color="auto"/>
        <w:bottom w:val="none" w:sz="0" w:space="0" w:color="auto"/>
        <w:right w:val="none" w:sz="0" w:space="0" w:color="auto"/>
      </w:divBdr>
    </w:div>
    <w:div w:id="1341539828">
      <w:bodyDiv w:val="1"/>
      <w:marLeft w:val="0"/>
      <w:marRight w:val="0"/>
      <w:marTop w:val="0"/>
      <w:marBottom w:val="0"/>
      <w:divBdr>
        <w:top w:val="none" w:sz="0" w:space="0" w:color="auto"/>
        <w:left w:val="none" w:sz="0" w:space="0" w:color="auto"/>
        <w:bottom w:val="none" w:sz="0" w:space="0" w:color="auto"/>
        <w:right w:val="none" w:sz="0" w:space="0" w:color="auto"/>
      </w:divBdr>
    </w:div>
    <w:div w:id="1342581371">
      <w:bodyDiv w:val="1"/>
      <w:marLeft w:val="0"/>
      <w:marRight w:val="0"/>
      <w:marTop w:val="0"/>
      <w:marBottom w:val="0"/>
      <w:divBdr>
        <w:top w:val="none" w:sz="0" w:space="0" w:color="auto"/>
        <w:left w:val="none" w:sz="0" w:space="0" w:color="auto"/>
        <w:bottom w:val="none" w:sz="0" w:space="0" w:color="auto"/>
        <w:right w:val="none" w:sz="0" w:space="0" w:color="auto"/>
      </w:divBdr>
    </w:div>
    <w:div w:id="1346203914">
      <w:bodyDiv w:val="1"/>
      <w:marLeft w:val="0"/>
      <w:marRight w:val="0"/>
      <w:marTop w:val="0"/>
      <w:marBottom w:val="0"/>
      <w:divBdr>
        <w:top w:val="none" w:sz="0" w:space="0" w:color="auto"/>
        <w:left w:val="none" w:sz="0" w:space="0" w:color="auto"/>
        <w:bottom w:val="none" w:sz="0" w:space="0" w:color="auto"/>
        <w:right w:val="none" w:sz="0" w:space="0" w:color="auto"/>
      </w:divBdr>
      <w:divsChild>
        <w:div w:id="625352578">
          <w:marLeft w:val="547"/>
          <w:marRight w:val="0"/>
          <w:marTop w:val="0"/>
          <w:marBottom w:val="0"/>
          <w:divBdr>
            <w:top w:val="none" w:sz="0" w:space="0" w:color="auto"/>
            <w:left w:val="none" w:sz="0" w:space="0" w:color="auto"/>
            <w:bottom w:val="none" w:sz="0" w:space="0" w:color="auto"/>
            <w:right w:val="none" w:sz="0" w:space="0" w:color="auto"/>
          </w:divBdr>
        </w:div>
      </w:divsChild>
    </w:div>
    <w:div w:id="1346438898">
      <w:bodyDiv w:val="1"/>
      <w:marLeft w:val="0"/>
      <w:marRight w:val="0"/>
      <w:marTop w:val="0"/>
      <w:marBottom w:val="0"/>
      <w:divBdr>
        <w:top w:val="none" w:sz="0" w:space="0" w:color="auto"/>
        <w:left w:val="none" w:sz="0" w:space="0" w:color="auto"/>
        <w:bottom w:val="none" w:sz="0" w:space="0" w:color="auto"/>
        <w:right w:val="none" w:sz="0" w:space="0" w:color="auto"/>
      </w:divBdr>
    </w:div>
    <w:div w:id="1346789553">
      <w:bodyDiv w:val="1"/>
      <w:marLeft w:val="0"/>
      <w:marRight w:val="0"/>
      <w:marTop w:val="0"/>
      <w:marBottom w:val="0"/>
      <w:divBdr>
        <w:top w:val="none" w:sz="0" w:space="0" w:color="auto"/>
        <w:left w:val="none" w:sz="0" w:space="0" w:color="auto"/>
        <w:bottom w:val="none" w:sz="0" w:space="0" w:color="auto"/>
        <w:right w:val="none" w:sz="0" w:space="0" w:color="auto"/>
      </w:divBdr>
    </w:div>
    <w:div w:id="1350182016">
      <w:bodyDiv w:val="1"/>
      <w:marLeft w:val="0"/>
      <w:marRight w:val="0"/>
      <w:marTop w:val="0"/>
      <w:marBottom w:val="0"/>
      <w:divBdr>
        <w:top w:val="none" w:sz="0" w:space="0" w:color="auto"/>
        <w:left w:val="none" w:sz="0" w:space="0" w:color="auto"/>
        <w:bottom w:val="none" w:sz="0" w:space="0" w:color="auto"/>
        <w:right w:val="none" w:sz="0" w:space="0" w:color="auto"/>
      </w:divBdr>
    </w:div>
    <w:div w:id="1351953493">
      <w:bodyDiv w:val="1"/>
      <w:marLeft w:val="0"/>
      <w:marRight w:val="0"/>
      <w:marTop w:val="0"/>
      <w:marBottom w:val="0"/>
      <w:divBdr>
        <w:top w:val="none" w:sz="0" w:space="0" w:color="auto"/>
        <w:left w:val="none" w:sz="0" w:space="0" w:color="auto"/>
        <w:bottom w:val="none" w:sz="0" w:space="0" w:color="auto"/>
        <w:right w:val="none" w:sz="0" w:space="0" w:color="auto"/>
      </w:divBdr>
    </w:div>
    <w:div w:id="1352955313">
      <w:bodyDiv w:val="1"/>
      <w:marLeft w:val="0"/>
      <w:marRight w:val="0"/>
      <w:marTop w:val="0"/>
      <w:marBottom w:val="0"/>
      <w:divBdr>
        <w:top w:val="none" w:sz="0" w:space="0" w:color="auto"/>
        <w:left w:val="none" w:sz="0" w:space="0" w:color="auto"/>
        <w:bottom w:val="none" w:sz="0" w:space="0" w:color="auto"/>
        <w:right w:val="none" w:sz="0" w:space="0" w:color="auto"/>
      </w:divBdr>
    </w:div>
    <w:div w:id="1354184306">
      <w:bodyDiv w:val="1"/>
      <w:marLeft w:val="0"/>
      <w:marRight w:val="0"/>
      <w:marTop w:val="0"/>
      <w:marBottom w:val="0"/>
      <w:divBdr>
        <w:top w:val="none" w:sz="0" w:space="0" w:color="auto"/>
        <w:left w:val="none" w:sz="0" w:space="0" w:color="auto"/>
        <w:bottom w:val="none" w:sz="0" w:space="0" w:color="auto"/>
        <w:right w:val="none" w:sz="0" w:space="0" w:color="auto"/>
      </w:divBdr>
    </w:div>
    <w:div w:id="1356730005">
      <w:bodyDiv w:val="1"/>
      <w:marLeft w:val="0"/>
      <w:marRight w:val="0"/>
      <w:marTop w:val="0"/>
      <w:marBottom w:val="0"/>
      <w:divBdr>
        <w:top w:val="none" w:sz="0" w:space="0" w:color="auto"/>
        <w:left w:val="none" w:sz="0" w:space="0" w:color="auto"/>
        <w:bottom w:val="none" w:sz="0" w:space="0" w:color="auto"/>
        <w:right w:val="none" w:sz="0" w:space="0" w:color="auto"/>
      </w:divBdr>
    </w:div>
    <w:div w:id="1358235921">
      <w:bodyDiv w:val="1"/>
      <w:marLeft w:val="0"/>
      <w:marRight w:val="0"/>
      <w:marTop w:val="0"/>
      <w:marBottom w:val="0"/>
      <w:divBdr>
        <w:top w:val="none" w:sz="0" w:space="0" w:color="auto"/>
        <w:left w:val="none" w:sz="0" w:space="0" w:color="auto"/>
        <w:bottom w:val="none" w:sz="0" w:space="0" w:color="auto"/>
        <w:right w:val="none" w:sz="0" w:space="0" w:color="auto"/>
      </w:divBdr>
    </w:div>
    <w:div w:id="1362971566">
      <w:bodyDiv w:val="1"/>
      <w:marLeft w:val="0"/>
      <w:marRight w:val="0"/>
      <w:marTop w:val="0"/>
      <w:marBottom w:val="0"/>
      <w:divBdr>
        <w:top w:val="none" w:sz="0" w:space="0" w:color="auto"/>
        <w:left w:val="none" w:sz="0" w:space="0" w:color="auto"/>
        <w:bottom w:val="none" w:sz="0" w:space="0" w:color="auto"/>
        <w:right w:val="none" w:sz="0" w:space="0" w:color="auto"/>
      </w:divBdr>
    </w:div>
    <w:div w:id="1363477997">
      <w:bodyDiv w:val="1"/>
      <w:marLeft w:val="0"/>
      <w:marRight w:val="0"/>
      <w:marTop w:val="0"/>
      <w:marBottom w:val="0"/>
      <w:divBdr>
        <w:top w:val="none" w:sz="0" w:space="0" w:color="auto"/>
        <w:left w:val="none" w:sz="0" w:space="0" w:color="auto"/>
        <w:bottom w:val="none" w:sz="0" w:space="0" w:color="auto"/>
        <w:right w:val="none" w:sz="0" w:space="0" w:color="auto"/>
      </w:divBdr>
    </w:div>
    <w:div w:id="1365667578">
      <w:bodyDiv w:val="1"/>
      <w:marLeft w:val="0"/>
      <w:marRight w:val="0"/>
      <w:marTop w:val="0"/>
      <w:marBottom w:val="0"/>
      <w:divBdr>
        <w:top w:val="none" w:sz="0" w:space="0" w:color="auto"/>
        <w:left w:val="none" w:sz="0" w:space="0" w:color="auto"/>
        <w:bottom w:val="none" w:sz="0" w:space="0" w:color="auto"/>
        <w:right w:val="none" w:sz="0" w:space="0" w:color="auto"/>
      </w:divBdr>
    </w:div>
    <w:div w:id="1365983629">
      <w:bodyDiv w:val="1"/>
      <w:marLeft w:val="0"/>
      <w:marRight w:val="0"/>
      <w:marTop w:val="0"/>
      <w:marBottom w:val="0"/>
      <w:divBdr>
        <w:top w:val="none" w:sz="0" w:space="0" w:color="auto"/>
        <w:left w:val="none" w:sz="0" w:space="0" w:color="auto"/>
        <w:bottom w:val="none" w:sz="0" w:space="0" w:color="auto"/>
        <w:right w:val="none" w:sz="0" w:space="0" w:color="auto"/>
      </w:divBdr>
    </w:div>
    <w:div w:id="1366558290">
      <w:bodyDiv w:val="1"/>
      <w:marLeft w:val="0"/>
      <w:marRight w:val="0"/>
      <w:marTop w:val="0"/>
      <w:marBottom w:val="0"/>
      <w:divBdr>
        <w:top w:val="none" w:sz="0" w:space="0" w:color="auto"/>
        <w:left w:val="none" w:sz="0" w:space="0" w:color="auto"/>
        <w:bottom w:val="none" w:sz="0" w:space="0" w:color="auto"/>
        <w:right w:val="none" w:sz="0" w:space="0" w:color="auto"/>
      </w:divBdr>
    </w:div>
    <w:div w:id="1367563672">
      <w:bodyDiv w:val="1"/>
      <w:marLeft w:val="0"/>
      <w:marRight w:val="0"/>
      <w:marTop w:val="0"/>
      <w:marBottom w:val="0"/>
      <w:divBdr>
        <w:top w:val="none" w:sz="0" w:space="0" w:color="auto"/>
        <w:left w:val="none" w:sz="0" w:space="0" w:color="auto"/>
        <w:bottom w:val="none" w:sz="0" w:space="0" w:color="auto"/>
        <w:right w:val="none" w:sz="0" w:space="0" w:color="auto"/>
      </w:divBdr>
    </w:div>
    <w:div w:id="1368916210">
      <w:bodyDiv w:val="1"/>
      <w:marLeft w:val="0"/>
      <w:marRight w:val="0"/>
      <w:marTop w:val="0"/>
      <w:marBottom w:val="0"/>
      <w:divBdr>
        <w:top w:val="none" w:sz="0" w:space="0" w:color="auto"/>
        <w:left w:val="none" w:sz="0" w:space="0" w:color="auto"/>
        <w:bottom w:val="none" w:sz="0" w:space="0" w:color="auto"/>
        <w:right w:val="none" w:sz="0" w:space="0" w:color="auto"/>
      </w:divBdr>
    </w:div>
    <w:div w:id="1375501897">
      <w:bodyDiv w:val="1"/>
      <w:marLeft w:val="0"/>
      <w:marRight w:val="0"/>
      <w:marTop w:val="0"/>
      <w:marBottom w:val="0"/>
      <w:divBdr>
        <w:top w:val="none" w:sz="0" w:space="0" w:color="auto"/>
        <w:left w:val="none" w:sz="0" w:space="0" w:color="auto"/>
        <w:bottom w:val="none" w:sz="0" w:space="0" w:color="auto"/>
        <w:right w:val="none" w:sz="0" w:space="0" w:color="auto"/>
      </w:divBdr>
    </w:div>
    <w:div w:id="1377700537">
      <w:bodyDiv w:val="1"/>
      <w:marLeft w:val="0"/>
      <w:marRight w:val="0"/>
      <w:marTop w:val="0"/>
      <w:marBottom w:val="0"/>
      <w:divBdr>
        <w:top w:val="none" w:sz="0" w:space="0" w:color="auto"/>
        <w:left w:val="none" w:sz="0" w:space="0" w:color="auto"/>
        <w:bottom w:val="none" w:sz="0" w:space="0" w:color="auto"/>
        <w:right w:val="none" w:sz="0" w:space="0" w:color="auto"/>
      </w:divBdr>
    </w:div>
    <w:div w:id="1378508533">
      <w:bodyDiv w:val="1"/>
      <w:marLeft w:val="0"/>
      <w:marRight w:val="0"/>
      <w:marTop w:val="0"/>
      <w:marBottom w:val="0"/>
      <w:divBdr>
        <w:top w:val="none" w:sz="0" w:space="0" w:color="auto"/>
        <w:left w:val="none" w:sz="0" w:space="0" w:color="auto"/>
        <w:bottom w:val="none" w:sz="0" w:space="0" w:color="auto"/>
        <w:right w:val="none" w:sz="0" w:space="0" w:color="auto"/>
      </w:divBdr>
    </w:div>
    <w:div w:id="1378747116">
      <w:bodyDiv w:val="1"/>
      <w:marLeft w:val="0"/>
      <w:marRight w:val="0"/>
      <w:marTop w:val="0"/>
      <w:marBottom w:val="0"/>
      <w:divBdr>
        <w:top w:val="none" w:sz="0" w:space="0" w:color="auto"/>
        <w:left w:val="none" w:sz="0" w:space="0" w:color="auto"/>
        <w:bottom w:val="none" w:sz="0" w:space="0" w:color="auto"/>
        <w:right w:val="none" w:sz="0" w:space="0" w:color="auto"/>
      </w:divBdr>
    </w:div>
    <w:div w:id="1380403151">
      <w:bodyDiv w:val="1"/>
      <w:marLeft w:val="0"/>
      <w:marRight w:val="0"/>
      <w:marTop w:val="0"/>
      <w:marBottom w:val="0"/>
      <w:divBdr>
        <w:top w:val="none" w:sz="0" w:space="0" w:color="auto"/>
        <w:left w:val="none" w:sz="0" w:space="0" w:color="auto"/>
        <w:bottom w:val="none" w:sz="0" w:space="0" w:color="auto"/>
        <w:right w:val="none" w:sz="0" w:space="0" w:color="auto"/>
      </w:divBdr>
    </w:div>
    <w:div w:id="1382557341">
      <w:bodyDiv w:val="1"/>
      <w:marLeft w:val="0"/>
      <w:marRight w:val="0"/>
      <w:marTop w:val="0"/>
      <w:marBottom w:val="0"/>
      <w:divBdr>
        <w:top w:val="none" w:sz="0" w:space="0" w:color="auto"/>
        <w:left w:val="none" w:sz="0" w:space="0" w:color="auto"/>
        <w:bottom w:val="none" w:sz="0" w:space="0" w:color="auto"/>
        <w:right w:val="none" w:sz="0" w:space="0" w:color="auto"/>
      </w:divBdr>
    </w:div>
    <w:div w:id="1388142462">
      <w:bodyDiv w:val="1"/>
      <w:marLeft w:val="0"/>
      <w:marRight w:val="0"/>
      <w:marTop w:val="0"/>
      <w:marBottom w:val="0"/>
      <w:divBdr>
        <w:top w:val="none" w:sz="0" w:space="0" w:color="auto"/>
        <w:left w:val="none" w:sz="0" w:space="0" w:color="auto"/>
        <w:bottom w:val="none" w:sz="0" w:space="0" w:color="auto"/>
        <w:right w:val="none" w:sz="0" w:space="0" w:color="auto"/>
      </w:divBdr>
    </w:div>
    <w:div w:id="1389498254">
      <w:bodyDiv w:val="1"/>
      <w:marLeft w:val="0"/>
      <w:marRight w:val="0"/>
      <w:marTop w:val="0"/>
      <w:marBottom w:val="0"/>
      <w:divBdr>
        <w:top w:val="none" w:sz="0" w:space="0" w:color="auto"/>
        <w:left w:val="none" w:sz="0" w:space="0" w:color="auto"/>
        <w:bottom w:val="none" w:sz="0" w:space="0" w:color="auto"/>
        <w:right w:val="none" w:sz="0" w:space="0" w:color="auto"/>
      </w:divBdr>
    </w:div>
    <w:div w:id="1391271514">
      <w:bodyDiv w:val="1"/>
      <w:marLeft w:val="0"/>
      <w:marRight w:val="0"/>
      <w:marTop w:val="0"/>
      <w:marBottom w:val="0"/>
      <w:divBdr>
        <w:top w:val="none" w:sz="0" w:space="0" w:color="auto"/>
        <w:left w:val="none" w:sz="0" w:space="0" w:color="auto"/>
        <w:bottom w:val="none" w:sz="0" w:space="0" w:color="auto"/>
        <w:right w:val="none" w:sz="0" w:space="0" w:color="auto"/>
      </w:divBdr>
    </w:div>
    <w:div w:id="1392075581">
      <w:bodyDiv w:val="1"/>
      <w:marLeft w:val="0"/>
      <w:marRight w:val="0"/>
      <w:marTop w:val="0"/>
      <w:marBottom w:val="0"/>
      <w:divBdr>
        <w:top w:val="none" w:sz="0" w:space="0" w:color="auto"/>
        <w:left w:val="none" w:sz="0" w:space="0" w:color="auto"/>
        <w:bottom w:val="none" w:sz="0" w:space="0" w:color="auto"/>
        <w:right w:val="none" w:sz="0" w:space="0" w:color="auto"/>
      </w:divBdr>
    </w:div>
    <w:div w:id="1392192372">
      <w:bodyDiv w:val="1"/>
      <w:marLeft w:val="0"/>
      <w:marRight w:val="0"/>
      <w:marTop w:val="0"/>
      <w:marBottom w:val="0"/>
      <w:divBdr>
        <w:top w:val="none" w:sz="0" w:space="0" w:color="auto"/>
        <w:left w:val="none" w:sz="0" w:space="0" w:color="auto"/>
        <w:bottom w:val="none" w:sz="0" w:space="0" w:color="auto"/>
        <w:right w:val="none" w:sz="0" w:space="0" w:color="auto"/>
      </w:divBdr>
    </w:div>
    <w:div w:id="1393192223">
      <w:bodyDiv w:val="1"/>
      <w:marLeft w:val="0"/>
      <w:marRight w:val="0"/>
      <w:marTop w:val="0"/>
      <w:marBottom w:val="0"/>
      <w:divBdr>
        <w:top w:val="none" w:sz="0" w:space="0" w:color="auto"/>
        <w:left w:val="none" w:sz="0" w:space="0" w:color="auto"/>
        <w:bottom w:val="none" w:sz="0" w:space="0" w:color="auto"/>
        <w:right w:val="none" w:sz="0" w:space="0" w:color="auto"/>
      </w:divBdr>
    </w:div>
    <w:div w:id="1393384100">
      <w:bodyDiv w:val="1"/>
      <w:marLeft w:val="0"/>
      <w:marRight w:val="0"/>
      <w:marTop w:val="0"/>
      <w:marBottom w:val="0"/>
      <w:divBdr>
        <w:top w:val="none" w:sz="0" w:space="0" w:color="auto"/>
        <w:left w:val="none" w:sz="0" w:space="0" w:color="auto"/>
        <w:bottom w:val="none" w:sz="0" w:space="0" w:color="auto"/>
        <w:right w:val="none" w:sz="0" w:space="0" w:color="auto"/>
      </w:divBdr>
    </w:div>
    <w:div w:id="1395082338">
      <w:bodyDiv w:val="1"/>
      <w:marLeft w:val="0"/>
      <w:marRight w:val="0"/>
      <w:marTop w:val="0"/>
      <w:marBottom w:val="0"/>
      <w:divBdr>
        <w:top w:val="none" w:sz="0" w:space="0" w:color="auto"/>
        <w:left w:val="none" w:sz="0" w:space="0" w:color="auto"/>
        <w:bottom w:val="none" w:sz="0" w:space="0" w:color="auto"/>
        <w:right w:val="none" w:sz="0" w:space="0" w:color="auto"/>
      </w:divBdr>
    </w:div>
    <w:div w:id="1395157222">
      <w:bodyDiv w:val="1"/>
      <w:marLeft w:val="0"/>
      <w:marRight w:val="0"/>
      <w:marTop w:val="0"/>
      <w:marBottom w:val="0"/>
      <w:divBdr>
        <w:top w:val="none" w:sz="0" w:space="0" w:color="auto"/>
        <w:left w:val="none" w:sz="0" w:space="0" w:color="auto"/>
        <w:bottom w:val="none" w:sz="0" w:space="0" w:color="auto"/>
        <w:right w:val="none" w:sz="0" w:space="0" w:color="auto"/>
      </w:divBdr>
    </w:div>
    <w:div w:id="1397167326">
      <w:bodyDiv w:val="1"/>
      <w:marLeft w:val="0"/>
      <w:marRight w:val="0"/>
      <w:marTop w:val="0"/>
      <w:marBottom w:val="0"/>
      <w:divBdr>
        <w:top w:val="none" w:sz="0" w:space="0" w:color="auto"/>
        <w:left w:val="none" w:sz="0" w:space="0" w:color="auto"/>
        <w:bottom w:val="none" w:sz="0" w:space="0" w:color="auto"/>
        <w:right w:val="none" w:sz="0" w:space="0" w:color="auto"/>
      </w:divBdr>
    </w:div>
    <w:div w:id="1401294848">
      <w:bodyDiv w:val="1"/>
      <w:marLeft w:val="0"/>
      <w:marRight w:val="0"/>
      <w:marTop w:val="0"/>
      <w:marBottom w:val="0"/>
      <w:divBdr>
        <w:top w:val="none" w:sz="0" w:space="0" w:color="auto"/>
        <w:left w:val="none" w:sz="0" w:space="0" w:color="auto"/>
        <w:bottom w:val="none" w:sz="0" w:space="0" w:color="auto"/>
        <w:right w:val="none" w:sz="0" w:space="0" w:color="auto"/>
      </w:divBdr>
    </w:div>
    <w:div w:id="1403025317">
      <w:bodyDiv w:val="1"/>
      <w:marLeft w:val="0"/>
      <w:marRight w:val="0"/>
      <w:marTop w:val="0"/>
      <w:marBottom w:val="0"/>
      <w:divBdr>
        <w:top w:val="none" w:sz="0" w:space="0" w:color="auto"/>
        <w:left w:val="none" w:sz="0" w:space="0" w:color="auto"/>
        <w:bottom w:val="none" w:sz="0" w:space="0" w:color="auto"/>
        <w:right w:val="none" w:sz="0" w:space="0" w:color="auto"/>
      </w:divBdr>
    </w:div>
    <w:div w:id="1403524018">
      <w:bodyDiv w:val="1"/>
      <w:marLeft w:val="0"/>
      <w:marRight w:val="0"/>
      <w:marTop w:val="0"/>
      <w:marBottom w:val="0"/>
      <w:divBdr>
        <w:top w:val="none" w:sz="0" w:space="0" w:color="auto"/>
        <w:left w:val="none" w:sz="0" w:space="0" w:color="auto"/>
        <w:bottom w:val="none" w:sz="0" w:space="0" w:color="auto"/>
        <w:right w:val="none" w:sz="0" w:space="0" w:color="auto"/>
      </w:divBdr>
    </w:div>
    <w:div w:id="1403987514">
      <w:bodyDiv w:val="1"/>
      <w:marLeft w:val="0"/>
      <w:marRight w:val="0"/>
      <w:marTop w:val="0"/>
      <w:marBottom w:val="0"/>
      <w:divBdr>
        <w:top w:val="none" w:sz="0" w:space="0" w:color="auto"/>
        <w:left w:val="none" w:sz="0" w:space="0" w:color="auto"/>
        <w:bottom w:val="none" w:sz="0" w:space="0" w:color="auto"/>
        <w:right w:val="none" w:sz="0" w:space="0" w:color="auto"/>
      </w:divBdr>
    </w:div>
    <w:div w:id="1409155773">
      <w:bodyDiv w:val="1"/>
      <w:marLeft w:val="0"/>
      <w:marRight w:val="0"/>
      <w:marTop w:val="0"/>
      <w:marBottom w:val="0"/>
      <w:divBdr>
        <w:top w:val="none" w:sz="0" w:space="0" w:color="auto"/>
        <w:left w:val="none" w:sz="0" w:space="0" w:color="auto"/>
        <w:bottom w:val="none" w:sz="0" w:space="0" w:color="auto"/>
        <w:right w:val="none" w:sz="0" w:space="0" w:color="auto"/>
      </w:divBdr>
    </w:div>
    <w:div w:id="1411387471">
      <w:bodyDiv w:val="1"/>
      <w:marLeft w:val="0"/>
      <w:marRight w:val="0"/>
      <w:marTop w:val="0"/>
      <w:marBottom w:val="0"/>
      <w:divBdr>
        <w:top w:val="none" w:sz="0" w:space="0" w:color="auto"/>
        <w:left w:val="none" w:sz="0" w:space="0" w:color="auto"/>
        <w:bottom w:val="none" w:sz="0" w:space="0" w:color="auto"/>
        <w:right w:val="none" w:sz="0" w:space="0" w:color="auto"/>
      </w:divBdr>
    </w:div>
    <w:div w:id="1413233213">
      <w:bodyDiv w:val="1"/>
      <w:marLeft w:val="0"/>
      <w:marRight w:val="0"/>
      <w:marTop w:val="0"/>
      <w:marBottom w:val="0"/>
      <w:divBdr>
        <w:top w:val="none" w:sz="0" w:space="0" w:color="auto"/>
        <w:left w:val="none" w:sz="0" w:space="0" w:color="auto"/>
        <w:bottom w:val="none" w:sz="0" w:space="0" w:color="auto"/>
        <w:right w:val="none" w:sz="0" w:space="0" w:color="auto"/>
      </w:divBdr>
    </w:div>
    <w:div w:id="1417824405">
      <w:bodyDiv w:val="1"/>
      <w:marLeft w:val="0"/>
      <w:marRight w:val="0"/>
      <w:marTop w:val="0"/>
      <w:marBottom w:val="0"/>
      <w:divBdr>
        <w:top w:val="none" w:sz="0" w:space="0" w:color="auto"/>
        <w:left w:val="none" w:sz="0" w:space="0" w:color="auto"/>
        <w:bottom w:val="none" w:sz="0" w:space="0" w:color="auto"/>
        <w:right w:val="none" w:sz="0" w:space="0" w:color="auto"/>
      </w:divBdr>
    </w:div>
    <w:div w:id="1418281745">
      <w:bodyDiv w:val="1"/>
      <w:marLeft w:val="0"/>
      <w:marRight w:val="0"/>
      <w:marTop w:val="0"/>
      <w:marBottom w:val="0"/>
      <w:divBdr>
        <w:top w:val="none" w:sz="0" w:space="0" w:color="auto"/>
        <w:left w:val="none" w:sz="0" w:space="0" w:color="auto"/>
        <w:bottom w:val="none" w:sz="0" w:space="0" w:color="auto"/>
        <w:right w:val="none" w:sz="0" w:space="0" w:color="auto"/>
      </w:divBdr>
    </w:div>
    <w:div w:id="1419641813">
      <w:bodyDiv w:val="1"/>
      <w:marLeft w:val="0"/>
      <w:marRight w:val="0"/>
      <w:marTop w:val="0"/>
      <w:marBottom w:val="0"/>
      <w:divBdr>
        <w:top w:val="none" w:sz="0" w:space="0" w:color="auto"/>
        <w:left w:val="none" w:sz="0" w:space="0" w:color="auto"/>
        <w:bottom w:val="none" w:sz="0" w:space="0" w:color="auto"/>
        <w:right w:val="none" w:sz="0" w:space="0" w:color="auto"/>
      </w:divBdr>
    </w:div>
    <w:div w:id="1419667400">
      <w:bodyDiv w:val="1"/>
      <w:marLeft w:val="0"/>
      <w:marRight w:val="0"/>
      <w:marTop w:val="0"/>
      <w:marBottom w:val="0"/>
      <w:divBdr>
        <w:top w:val="none" w:sz="0" w:space="0" w:color="auto"/>
        <w:left w:val="none" w:sz="0" w:space="0" w:color="auto"/>
        <w:bottom w:val="none" w:sz="0" w:space="0" w:color="auto"/>
        <w:right w:val="none" w:sz="0" w:space="0" w:color="auto"/>
      </w:divBdr>
    </w:div>
    <w:div w:id="1420903771">
      <w:bodyDiv w:val="1"/>
      <w:marLeft w:val="0"/>
      <w:marRight w:val="0"/>
      <w:marTop w:val="0"/>
      <w:marBottom w:val="0"/>
      <w:divBdr>
        <w:top w:val="none" w:sz="0" w:space="0" w:color="auto"/>
        <w:left w:val="none" w:sz="0" w:space="0" w:color="auto"/>
        <w:bottom w:val="none" w:sz="0" w:space="0" w:color="auto"/>
        <w:right w:val="none" w:sz="0" w:space="0" w:color="auto"/>
      </w:divBdr>
    </w:div>
    <w:div w:id="1421634579">
      <w:bodyDiv w:val="1"/>
      <w:marLeft w:val="0"/>
      <w:marRight w:val="0"/>
      <w:marTop w:val="0"/>
      <w:marBottom w:val="0"/>
      <w:divBdr>
        <w:top w:val="none" w:sz="0" w:space="0" w:color="auto"/>
        <w:left w:val="none" w:sz="0" w:space="0" w:color="auto"/>
        <w:bottom w:val="none" w:sz="0" w:space="0" w:color="auto"/>
        <w:right w:val="none" w:sz="0" w:space="0" w:color="auto"/>
      </w:divBdr>
    </w:div>
    <w:div w:id="1422028138">
      <w:bodyDiv w:val="1"/>
      <w:marLeft w:val="0"/>
      <w:marRight w:val="0"/>
      <w:marTop w:val="0"/>
      <w:marBottom w:val="0"/>
      <w:divBdr>
        <w:top w:val="none" w:sz="0" w:space="0" w:color="auto"/>
        <w:left w:val="none" w:sz="0" w:space="0" w:color="auto"/>
        <w:bottom w:val="none" w:sz="0" w:space="0" w:color="auto"/>
        <w:right w:val="none" w:sz="0" w:space="0" w:color="auto"/>
      </w:divBdr>
    </w:div>
    <w:div w:id="1422413588">
      <w:bodyDiv w:val="1"/>
      <w:marLeft w:val="0"/>
      <w:marRight w:val="0"/>
      <w:marTop w:val="0"/>
      <w:marBottom w:val="0"/>
      <w:divBdr>
        <w:top w:val="none" w:sz="0" w:space="0" w:color="auto"/>
        <w:left w:val="none" w:sz="0" w:space="0" w:color="auto"/>
        <w:bottom w:val="none" w:sz="0" w:space="0" w:color="auto"/>
        <w:right w:val="none" w:sz="0" w:space="0" w:color="auto"/>
      </w:divBdr>
    </w:div>
    <w:div w:id="1425111860">
      <w:bodyDiv w:val="1"/>
      <w:marLeft w:val="0"/>
      <w:marRight w:val="0"/>
      <w:marTop w:val="0"/>
      <w:marBottom w:val="0"/>
      <w:divBdr>
        <w:top w:val="none" w:sz="0" w:space="0" w:color="auto"/>
        <w:left w:val="none" w:sz="0" w:space="0" w:color="auto"/>
        <w:bottom w:val="none" w:sz="0" w:space="0" w:color="auto"/>
        <w:right w:val="none" w:sz="0" w:space="0" w:color="auto"/>
      </w:divBdr>
    </w:div>
    <w:div w:id="1426726076">
      <w:bodyDiv w:val="1"/>
      <w:marLeft w:val="0"/>
      <w:marRight w:val="0"/>
      <w:marTop w:val="0"/>
      <w:marBottom w:val="0"/>
      <w:divBdr>
        <w:top w:val="none" w:sz="0" w:space="0" w:color="auto"/>
        <w:left w:val="none" w:sz="0" w:space="0" w:color="auto"/>
        <w:bottom w:val="none" w:sz="0" w:space="0" w:color="auto"/>
        <w:right w:val="none" w:sz="0" w:space="0" w:color="auto"/>
      </w:divBdr>
    </w:div>
    <w:div w:id="1430352208">
      <w:bodyDiv w:val="1"/>
      <w:marLeft w:val="0"/>
      <w:marRight w:val="0"/>
      <w:marTop w:val="0"/>
      <w:marBottom w:val="0"/>
      <w:divBdr>
        <w:top w:val="none" w:sz="0" w:space="0" w:color="auto"/>
        <w:left w:val="none" w:sz="0" w:space="0" w:color="auto"/>
        <w:bottom w:val="none" w:sz="0" w:space="0" w:color="auto"/>
        <w:right w:val="none" w:sz="0" w:space="0" w:color="auto"/>
      </w:divBdr>
    </w:div>
    <w:div w:id="1431661198">
      <w:bodyDiv w:val="1"/>
      <w:marLeft w:val="0"/>
      <w:marRight w:val="0"/>
      <w:marTop w:val="0"/>
      <w:marBottom w:val="0"/>
      <w:divBdr>
        <w:top w:val="none" w:sz="0" w:space="0" w:color="auto"/>
        <w:left w:val="none" w:sz="0" w:space="0" w:color="auto"/>
        <w:bottom w:val="none" w:sz="0" w:space="0" w:color="auto"/>
        <w:right w:val="none" w:sz="0" w:space="0" w:color="auto"/>
      </w:divBdr>
    </w:div>
    <w:div w:id="1432166041">
      <w:bodyDiv w:val="1"/>
      <w:marLeft w:val="0"/>
      <w:marRight w:val="0"/>
      <w:marTop w:val="0"/>
      <w:marBottom w:val="0"/>
      <w:divBdr>
        <w:top w:val="none" w:sz="0" w:space="0" w:color="auto"/>
        <w:left w:val="none" w:sz="0" w:space="0" w:color="auto"/>
        <w:bottom w:val="none" w:sz="0" w:space="0" w:color="auto"/>
        <w:right w:val="none" w:sz="0" w:space="0" w:color="auto"/>
      </w:divBdr>
    </w:div>
    <w:div w:id="1440635804">
      <w:bodyDiv w:val="1"/>
      <w:marLeft w:val="0"/>
      <w:marRight w:val="0"/>
      <w:marTop w:val="0"/>
      <w:marBottom w:val="0"/>
      <w:divBdr>
        <w:top w:val="none" w:sz="0" w:space="0" w:color="auto"/>
        <w:left w:val="none" w:sz="0" w:space="0" w:color="auto"/>
        <w:bottom w:val="none" w:sz="0" w:space="0" w:color="auto"/>
        <w:right w:val="none" w:sz="0" w:space="0" w:color="auto"/>
      </w:divBdr>
    </w:div>
    <w:div w:id="1440642550">
      <w:bodyDiv w:val="1"/>
      <w:marLeft w:val="0"/>
      <w:marRight w:val="0"/>
      <w:marTop w:val="0"/>
      <w:marBottom w:val="0"/>
      <w:divBdr>
        <w:top w:val="none" w:sz="0" w:space="0" w:color="auto"/>
        <w:left w:val="none" w:sz="0" w:space="0" w:color="auto"/>
        <w:bottom w:val="none" w:sz="0" w:space="0" w:color="auto"/>
        <w:right w:val="none" w:sz="0" w:space="0" w:color="auto"/>
      </w:divBdr>
    </w:div>
    <w:div w:id="1441871751">
      <w:bodyDiv w:val="1"/>
      <w:marLeft w:val="0"/>
      <w:marRight w:val="0"/>
      <w:marTop w:val="0"/>
      <w:marBottom w:val="0"/>
      <w:divBdr>
        <w:top w:val="none" w:sz="0" w:space="0" w:color="auto"/>
        <w:left w:val="none" w:sz="0" w:space="0" w:color="auto"/>
        <w:bottom w:val="none" w:sz="0" w:space="0" w:color="auto"/>
        <w:right w:val="none" w:sz="0" w:space="0" w:color="auto"/>
      </w:divBdr>
    </w:div>
    <w:div w:id="1442610842">
      <w:bodyDiv w:val="1"/>
      <w:marLeft w:val="0"/>
      <w:marRight w:val="0"/>
      <w:marTop w:val="0"/>
      <w:marBottom w:val="0"/>
      <w:divBdr>
        <w:top w:val="none" w:sz="0" w:space="0" w:color="auto"/>
        <w:left w:val="none" w:sz="0" w:space="0" w:color="auto"/>
        <w:bottom w:val="none" w:sz="0" w:space="0" w:color="auto"/>
        <w:right w:val="none" w:sz="0" w:space="0" w:color="auto"/>
      </w:divBdr>
    </w:div>
    <w:div w:id="1442649169">
      <w:bodyDiv w:val="1"/>
      <w:marLeft w:val="0"/>
      <w:marRight w:val="0"/>
      <w:marTop w:val="0"/>
      <w:marBottom w:val="0"/>
      <w:divBdr>
        <w:top w:val="none" w:sz="0" w:space="0" w:color="auto"/>
        <w:left w:val="none" w:sz="0" w:space="0" w:color="auto"/>
        <w:bottom w:val="none" w:sz="0" w:space="0" w:color="auto"/>
        <w:right w:val="none" w:sz="0" w:space="0" w:color="auto"/>
      </w:divBdr>
    </w:div>
    <w:div w:id="1444299653">
      <w:bodyDiv w:val="1"/>
      <w:marLeft w:val="0"/>
      <w:marRight w:val="0"/>
      <w:marTop w:val="0"/>
      <w:marBottom w:val="0"/>
      <w:divBdr>
        <w:top w:val="none" w:sz="0" w:space="0" w:color="auto"/>
        <w:left w:val="none" w:sz="0" w:space="0" w:color="auto"/>
        <w:bottom w:val="none" w:sz="0" w:space="0" w:color="auto"/>
        <w:right w:val="none" w:sz="0" w:space="0" w:color="auto"/>
      </w:divBdr>
    </w:div>
    <w:div w:id="1445230607">
      <w:bodyDiv w:val="1"/>
      <w:marLeft w:val="0"/>
      <w:marRight w:val="0"/>
      <w:marTop w:val="0"/>
      <w:marBottom w:val="0"/>
      <w:divBdr>
        <w:top w:val="none" w:sz="0" w:space="0" w:color="auto"/>
        <w:left w:val="none" w:sz="0" w:space="0" w:color="auto"/>
        <w:bottom w:val="none" w:sz="0" w:space="0" w:color="auto"/>
        <w:right w:val="none" w:sz="0" w:space="0" w:color="auto"/>
      </w:divBdr>
    </w:div>
    <w:div w:id="1445610787">
      <w:bodyDiv w:val="1"/>
      <w:marLeft w:val="0"/>
      <w:marRight w:val="0"/>
      <w:marTop w:val="0"/>
      <w:marBottom w:val="0"/>
      <w:divBdr>
        <w:top w:val="none" w:sz="0" w:space="0" w:color="auto"/>
        <w:left w:val="none" w:sz="0" w:space="0" w:color="auto"/>
        <w:bottom w:val="none" w:sz="0" w:space="0" w:color="auto"/>
        <w:right w:val="none" w:sz="0" w:space="0" w:color="auto"/>
      </w:divBdr>
    </w:div>
    <w:div w:id="1446732963">
      <w:bodyDiv w:val="1"/>
      <w:marLeft w:val="0"/>
      <w:marRight w:val="0"/>
      <w:marTop w:val="0"/>
      <w:marBottom w:val="0"/>
      <w:divBdr>
        <w:top w:val="none" w:sz="0" w:space="0" w:color="auto"/>
        <w:left w:val="none" w:sz="0" w:space="0" w:color="auto"/>
        <w:bottom w:val="none" w:sz="0" w:space="0" w:color="auto"/>
        <w:right w:val="none" w:sz="0" w:space="0" w:color="auto"/>
      </w:divBdr>
    </w:div>
    <w:div w:id="1447236272">
      <w:bodyDiv w:val="1"/>
      <w:marLeft w:val="0"/>
      <w:marRight w:val="0"/>
      <w:marTop w:val="0"/>
      <w:marBottom w:val="0"/>
      <w:divBdr>
        <w:top w:val="none" w:sz="0" w:space="0" w:color="auto"/>
        <w:left w:val="none" w:sz="0" w:space="0" w:color="auto"/>
        <w:bottom w:val="none" w:sz="0" w:space="0" w:color="auto"/>
        <w:right w:val="none" w:sz="0" w:space="0" w:color="auto"/>
      </w:divBdr>
    </w:div>
    <w:div w:id="1447506805">
      <w:bodyDiv w:val="1"/>
      <w:marLeft w:val="0"/>
      <w:marRight w:val="0"/>
      <w:marTop w:val="0"/>
      <w:marBottom w:val="0"/>
      <w:divBdr>
        <w:top w:val="none" w:sz="0" w:space="0" w:color="auto"/>
        <w:left w:val="none" w:sz="0" w:space="0" w:color="auto"/>
        <w:bottom w:val="none" w:sz="0" w:space="0" w:color="auto"/>
        <w:right w:val="none" w:sz="0" w:space="0" w:color="auto"/>
      </w:divBdr>
    </w:div>
    <w:div w:id="1447963397">
      <w:bodyDiv w:val="1"/>
      <w:marLeft w:val="0"/>
      <w:marRight w:val="0"/>
      <w:marTop w:val="0"/>
      <w:marBottom w:val="0"/>
      <w:divBdr>
        <w:top w:val="none" w:sz="0" w:space="0" w:color="auto"/>
        <w:left w:val="none" w:sz="0" w:space="0" w:color="auto"/>
        <w:bottom w:val="none" w:sz="0" w:space="0" w:color="auto"/>
        <w:right w:val="none" w:sz="0" w:space="0" w:color="auto"/>
      </w:divBdr>
    </w:div>
    <w:div w:id="1448548956">
      <w:bodyDiv w:val="1"/>
      <w:marLeft w:val="0"/>
      <w:marRight w:val="0"/>
      <w:marTop w:val="0"/>
      <w:marBottom w:val="0"/>
      <w:divBdr>
        <w:top w:val="none" w:sz="0" w:space="0" w:color="auto"/>
        <w:left w:val="none" w:sz="0" w:space="0" w:color="auto"/>
        <w:bottom w:val="none" w:sz="0" w:space="0" w:color="auto"/>
        <w:right w:val="none" w:sz="0" w:space="0" w:color="auto"/>
      </w:divBdr>
    </w:div>
    <w:div w:id="1449885657">
      <w:bodyDiv w:val="1"/>
      <w:marLeft w:val="0"/>
      <w:marRight w:val="0"/>
      <w:marTop w:val="0"/>
      <w:marBottom w:val="0"/>
      <w:divBdr>
        <w:top w:val="none" w:sz="0" w:space="0" w:color="auto"/>
        <w:left w:val="none" w:sz="0" w:space="0" w:color="auto"/>
        <w:bottom w:val="none" w:sz="0" w:space="0" w:color="auto"/>
        <w:right w:val="none" w:sz="0" w:space="0" w:color="auto"/>
      </w:divBdr>
    </w:div>
    <w:div w:id="1452096027">
      <w:bodyDiv w:val="1"/>
      <w:marLeft w:val="0"/>
      <w:marRight w:val="0"/>
      <w:marTop w:val="0"/>
      <w:marBottom w:val="0"/>
      <w:divBdr>
        <w:top w:val="none" w:sz="0" w:space="0" w:color="auto"/>
        <w:left w:val="none" w:sz="0" w:space="0" w:color="auto"/>
        <w:bottom w:val="none" w:sz="0" w:space="0" w:color="auto"/>
        <w:right w:val="none" w:sz="0" w:space="0" w:color="auto"/>
      </w:divBdr>
    </w:div>
    <w:div w:id="1452361296">
      <w:bodyDiv w:val="1"/>
      <w:marLeft w:val="0"/>
      <w:marRight w:val="0"/>
      <w:marTop w:val="0"/>
      <w:marBottom w:val="0"/>
      <w:divBdr>
        <w:top w:val="none" w:sz="0" w:space="0" w:color="auto"/>
        <w:left w:val="none" w:sz="0" w:space="0" w:color="auto"/>
        <w:bottom w:val="none" w:sz="0" w:space="0" w:color="auto"/>
        <w:right w:val="none" w:sz="0" w:space="0" w:color="auto"/>
      </w:divBdr>
    </w:div>
    <w:div w:id="1452896336">
      <w:bodyDiv w:val="1"/>
      <w:marLeft w:val="0"/>
      <w:marRight w:val="0"/>
      <w:marTop w:val="0"/>
      <w:marBottom w:val="0"/>
      <w:divBdr>
        <w:top w:val="none" w:sz="0" w:space="0" w:color="auto"/>
        <w:left w:val="none" w:sz="0" w:space="0" w:color="auto"/>
        <w:bottom w:val="none" w:sz="0" w:space="0" w:color="auto"/>
        <w:right w:val="none" w:sz="0" w:space="0" w:color="auto"/>
      </w:divBdr>
    </w:div>
    <w:div w:id="1454321556">
      <w:bodyDiv w:val="1"/>
      <w:marLeft w:val="0"/>
      <w:marRight w:val="0"/>
      <w:marTop w:val="0"/>
      <w:marBottom w:val="0"/>
      <w:divBdr>
        <w:top w:val="none" w:sz="0" w:space="0" w:color="auto"/>
        <w:left w:val="none" w:sz="0" w:space="0" w:color="auto"/>
        <w:bottom w:val="none" w:sz="0" w:space="0" w:color="auto"/>
        <w:right w:val="none" w:sz="0" w:space="0" w:color="auto"/>
      </w:divBdr>
    </w:div>
    <w:div w:id="1457796843">
      <w:bodyDiv w:val="1"/>
      <w:marLeft w:val="0"/>
      <w:marRight w:val="0"/>
      <w:marTop w:val="0"/>
      <w:marBottom w:val="0"/>
      <w:divBdr>
        <w:top w:val="none" w:sz="0" w:space="0" w:color="auto"/>
        <w:left w:val="none" w:sz="0" w:space="0" w:color="auto"/>
        <w:bottom w:val="none" w:sz="0" w:space="0" w:color="auto"/>
        <w:right w:val="none" w:sz="0" w:space="0" w:color="auto"/>
      </w:divBdr>
    </w:div>
    <w:div w:id="1459688771">
      <w:bodyDiv w:val="1"/>
      <w:marLeft w:val="0"/>
      <w:marRight w:val="0"/>
      <w:marTop w:val="0"/>
      <w:marBottom w:val="0"/>
      <w:divBdr>
        <w:top w:val="none" w:sz="0" w:space="0" w:color="auto"/>
        <w:left w:val="none" w:sz="0" w:space="0" w:color="auto"/>
        <w:bottom w:val="none" w:sz="0" w:space="0" w:color="auto"/>
        <w:right w:val="none" w:sz="0" w:space="0" w:color="auto"/>
      </w:divBdr>
    </w:div>
    <w:div w:id="1466048185">
      <w:bodyDiv w:val="1"/>
      <w:marLeft w:val="0"/>
      <w:marRight w:val="0"/>
      <w:marTop w:val="0"/>
      <w:marBottom w:val="0"/>
      <w:divBdr>
        <w:top w:val="none" w:sz="0" w:space="0" w:color="auto"/>
        <w:left w:val="none" w:sz="0" w:space="0" w:color="auto"/>
        <w:bottom w:val="none" w:sz="0" w:space="0" w:color="auto"/>
        <w:right w:val="none" w:sz="0" w:space="0" w:color="auto"/>
      </w:divBdr>
    </w:div>
    <w:div w:id="1468938443">
      <w:bodyDiv w:val="1"/>
      <w:marLeft w:val="0"/>
      <w:marRight w:val="0"/>
      <w:marTop w:val="0"/>
      <w:marBottom w:val="0"/>
      <w:divBdr>
        <w:top w:val="none" w:sz="0" w:space="0" w:color="auto"/>
        <w:left w:val="none" w:sz="0" w:space="0" w:color="auto"/>
        <w:bottom w:val="none" w:sz="0" w:space="0" w:color="auto"/>
        <w:right w:val="none" w:sz="0" w:space="0" w:color="auto"/>
      </w:divBdr>
    </w:div>
    <w:div w:id="1469661141">
      <w:bodyDiv w:val="1"/>
      <w:marLeft w:val="0"/>
      <w:marRight w:val="0"/>
      <w:marTop w:val="0"/>
      <w:marBottom w:val="0"/>
      <w:divBdr>
        <w:top w:val="none" w:sz="0" w:space="0" w:color="auto"/>
        <w:left w:val="none" w:sz="0" w:space="0" w:color="auto"/>
        <w:bottom w:val="none" w:sz="0" w:space="0" w:color="auto"/>
        <w:right w:val="none" w:sz="0" w:space="0" w:color="auto"/>
      </w:divBdr>
    </w:div>
    <w:div w:id="1471242277">
      <w:bodyDiv w:val="1"/>
      <w:marLeft w:val="0"/>
      <w:marRight w:val="0"/>
      <w:marTop w:val="0"/>
      <w:marBottom w:val="0"/>
      <w:divBdr>
        <w:top w:val="none" w:sz="0" w:space="0" w:color="auto"/>
        <w:left w:val="none" w:sz="0" w:space="0" w:color="auto"/>
        <w:bottom w:val="none" w:sz="0" w:space="0" w:color="auto"/>
        <w:right w:val="none" w:sz="0" w:space="0" w:color="auto"/>
      </w:divBdr>
    </w:div>
    <w:div w:id="1472139901">
      <w:bodyDiv w:val="1"/>
      <w:marLeft w:val="0"/>
      <w:marRight w:val="0"/>
      <w:marTop w:val="0"/>
      <w:marBottom w:val="0"/>
      <w:divBdr>
        <w:top w:val="none" w:sz="0" w:space="0" w:color="auto"/>
        <w:left w:val="none" w:sz="0" w:space="0" w:color="auto"/>
        <w:bottom w:val="none" w:sz="0" w:space="0" w:color="auto"/>
        <w:right w:val="none" w:sz="0" w:space="0" w:color="auto"/>
      </w:divBdr>
    </w:div>
    <w:div w:id="1473403017">
      <w:bodyDiv w:val="1"/>
      <w:marLeft w:val="0"/>
      <w:marRight w:val="0"/>
      <w:marTop w:val="0"/>
      <w:marBottom w:val="0"/>
      <w:divBdr>
        <w:top w:val="none" w:sz="0" w:space="0" w:color="auto"/>
        <w:left w:val="none" w:sz="0" w:space="0" w:color="auto"/>
        <w:bottom w:val="none" w:sz="0" w:space="0" w:color="auto"/>
        <w:right w:val="none" w:sz="0" w:space="0" w:color="auto"/>
      </w:divBdr>
    </w:div>
    <w:div w:id="1474837159">
      <w:bodyDiv w:val="1"/>
      <w:marLeft w:val="0"/>
      <w:marRight w:val="0"/>
      <w:marTop w:val="0"/>
      <w:marBottom w:val="0"/>
      <w:divBdr>
        <w:top w:val="none" w:sz="0" w:space="0" w:color="auto"/>
        <w:left w:val="none" w:sz="0" w:space="0" w:color="auto"/>
        <w:bottom w:val="none" w:sz="0" w:space="0" w:color="auto"/>
        <w:right w:val="none" w:sz="0" w:space="0" w:color="auto"/>
      </w:divBdr>
    </w:div>
    <w:div w:id="1477648591">
      <w:bodyDiv w:val="1"/>
      <w:marLeft w:val="0"/>
      <w:marRight w:val="0"/>
      <w:marTop w:val="0"/>
      <w:marBottom w:val="0"/>
      <w:divBdr>
        <w:top w:val="none" w:sz="0" w:space="0" w:color="auto"/>
        <w:left w:val="none" w:sz="0" w:space="0" w:color="auto"/>
        <w:bottom w:val="none" w:sz="0" w:space="0" w:color="auto"/>
        <w:right w:val="none" w:sz="0" w:space="0" w:color="auto"/>
      </w:divBdr>
    </w:div>
    <w:div w:id="1479108280">
      <w:bodyDiv w:val="1"/>
      <w:marLeft w:val="0"/>
      <w:marRight w:val="0"/>
      <w:marTop w:val="0"/>
      <w:marBottom w:val="0"/>
      <w:divBdr>
        <w:top w:val="none" w:sz="0" w:space="0" w:color="auto"/>
        <w:left w:val="none" w:sz="0" w:space="0" w:color="auto"/>
        <w:bottom w:val="none" w:sz="0" w:space="0" w:color="auto"/>
        <w:right w:val="none" w:sz="0" w:space="0" w:color="auto"/>
      </w:divBdr>
    </w:div>
    <w:div w:id="1481077970">
      <w:bodyDiv w:val="1"/>
      <w:marLeft w:val="0"/>
      <w:marRight w:val="0"/>
      <w:marTop w:val="0"/>
      <w:marBottom w:val="0"/>
      <w:divBdr>
        <w:top w:val="none" w:sz="0" w:space="0" w:color="auto"/>
        <w:left w:val="none" w:sz="0" w:space="0" w:color="auto"/>
        <w:bottom w:val="none" w:sz="0" w:space="0" w:color="auto"/>
        <w:right w:val="none" w:sz="0" w:space="0" w:color="auto"/>
      </w:divBdr>
    </w:div>
    <w:div w:id="1485121971">
      <w:bodyDiv w:val="1"/>
      <w:marLeft w:val="0"/>
      <w:marRight w:val="0"/>
      <w:marTop w:val="0"/>
      <w:marBottom w:val="0"/>
      <w:divBdr>
        <w:top w:val="none" w:sz="0" w:space="0" w:color="auto"/>
        <w:left w:val="none" w:sz="0" w:space="0" w:color="auto"/>
        <w:bottom w:val="none" w:sz="0" w:space="0" w:color="auto"/>
        <w:right w:val="none" w:sz="0" w:space="0" w:color="auto"/>
      </w:divBdr>
    </w:div>
    <w:div w:id="1486583836">
      <w:bodyDiv w:val="1"/>
      <w:marLeft w:val="0"/>
      <w:marRight w:val="0"/>
      <w:marTop w:val="0"/>
      <w:marBottom w:val="0"/>
      <w:divBdr>
        <w:top w:val="none" w:sz="0" w:space="0" w:color="auto"/>
        <w:left w:val="none" w:sz="0" w:space="0" w:color="auto"/>
        <w:bottom w:val="none" w:sz="0" w:space="0" w:color="auto"/>
        <w:right w:val="none" w:sz="0" w:space="0" w:color="auto"/>
      </w:divBdr>
    </w:div>
    <w:div w:id="1489127029">
      <w:bodyDiv w:val="1"/>
      <w:marLeft w:val="0"/>
      <w:marRight w:val="0"/>
      <w:marTop w:val="0"/>
      <w:marBottom w:val="0"/>
      <w:divBdr>
        <w:top w:val="none" w:sz="0" w:space="0" w:color="auto"/>
        <w:left w:val="none" w:sz="0" w:space="0" w:color="auto"/>
        <w:bottom w:val="none" w:sz="0" w:space="0" w:color="auto"/>
        <w:right w:val="none" w:sz="0" w:space="0" w:color="auto"/>
      </w:divBdr>
    </w:div>
    <w:div w:id="1490093239">
      <w:bodyDiv w:val="1"/>
      <w:marLeft w:val="0"/>
      <w:marRight w:val="0"/>
      <w:marTop w:val="0"/>
      <w:marBottom w:val="0"/>
      <w:divBdr>
        <w:top w:val="none" w:sz="0" w:space="0" w:color="auto"/>
        <w:left w:val="none" w:sz="0" w:space="0" w:color="auto"/>
        <w:bottom w:val="none" w:sz="0" w:space="0" w:color="auto"/>
        <w:right w:val="none" w:sz="0" w:space="0" w:color="auto"/>
      </w:divBdr>
    </w:div>
    <w:div w:id="1494565740">
      <w:bodyDiv w:val="1"/>
      <w:marLeft w:val="0"/>
      <w:marRight w:val="0"/>
      <w:marTop w:val="0"/>
      <w:marBottom w:val="0"/>
      <w:divBdr>
        <w:top w:val="none" w:sz="0" w:space="0" w:color="auto"/>
        <w:left w:val="none" w:sz="0" w:space="0" w:color="auto"/>
        <w:bottom w:val="none" w:sz="0" w:space="0" w:color="auto"/>
        <w:right w:val="none" w:sz="0" w:space="0" w:color="auto"/>
      </w:divBdr>
    </w:div>
    <w:div w:id="1494639841">
      <w:bodyDiv w:val="1"/>
      <w:marLeft w:val="0"/>
      <w:marRight w:val="0"/>
      <w:marTop w:val="0"/>
      <w:marBottom w:val="0"/>
      <w:divBdr>
        <w:top w:val="none" w:sz="0" w:space="0" w:color="auto"/>
        <w:left w:val="none" w:sz="0" w:space="0" w:color="auto"/>
        <w:bottom w:val="none" w:sz="0" w:space="0" w:color="auto"/>
        <w:right w:val="none" w:sz="0" w:space="0" w:color="auto"/>
      </w:divBdr>
    </w:div>
    <w:div w:id="1495879650">
      <w:bodyDiv w:val="1"/>
      <w:marLeft w:val="0"/>
      <w:marRight w:val="0"/>
      <w:marTop w:val="0"/>
      <w:marBottom w:val="0"/>
      <w:divBdr>
        <w:top w:val="none" w:sz="0" w:space="0" w:color="auto"/>
        <w:left w:val="none" w:sz="0" w:space="0" w:color="auto"/>
        <w:bottom w:val="none" w:sz="0" w:space="0" w:color="auto"/>
        <w:right w:val="none" w:sz="0" w:space="0" w:color="auto"/>
      </w:divBdr>
    </w:div>
    <w:div w:id="1506020598">
      <w:bodyDiv w:val="1"/>
      <w:marLeft w:val="0"/>
      <w:marRight w:val="0"/>
      <w:marTop w:val="0"/>
      <w:marBottom w:val="0"/>
      <w:divBdr>
        <w:top w:val="none" w:sz="0" w:space="0" w:color="auto"/>
        <w:left w:val="none" w:sz="0" w:space="0" w:color="auto"/>
        <w:bottom w:val="none" w:sz="0" w:space="0" w:color="auto"/>
        <w:right w:val="none" w:sz="0" w:space="0" w:color="auto"/>
      </w:divBdr>
    </w:div>
    <w:div w:id="1508404515">
      <w:bodyDiv w:val="1"/>
      <w:marLeft w:val="0"/>
      <w:marRight w:val="0"/>
      <w:marTop w:val="0"/>
      <w:marBottom w:val="0"/>
      <w:divBdr>
        <w:top w:val="none" w:sz="0" w:space="0" w:color="auto"/>
        <w:left w:val="none" w:sz="0" w:space="0" w:color="auto"/>
        <w:bottom w:val="none" w:sz="0" w:space="0" w:color="auto"/>
        <w:right w:val="none" w:sz="0" w:space="0" w:color="auto"/>
      </w:divBdr>
    </w:div>
    <w:div w:id="1509979786">
      <w:bodyDiv w:val="1"/>
      <w:marLeft w:val="0"/>
      <w:marRight w:val="0"/>
      <w:marTop w:val="0"/>
      <w:marBottom w:val="0"/>
      <w:divBdr>
        <w:top w:val="none" w:sz="0" w:space="0" w:color="auto"/>
        <w:left w:val="none" w:sz="0" w:space="0" w:color="auto"/>
        <w:bottom w:val="none" w:sz="0" w:space="0" w:color="auto"/>
        <w:right w:val="none" w:sz="0" w:space="0" w:color="auto"/>
      </w:divBdr>
    </w:div>
    <w:div w:id="1516072216">
      <w:bodyDiv w:val="1"/>
      <w:marLeft w:val="0"/>
      <w:marRight w:val="0"/>
      <w:marTop w:val="0"/>
      <w:marBottom w:val="0"/>
      <w:divBdr>
        <w:top w:val="none" w:sz="0" w:space="0" w:color="auto"/>
        <w:left w:val="none" w:sz="0" w:space="0" w:color="auto"/>
        <w:bottom w:val="none" w:sz="0" w:space="0" w:color="auto"/>
        <w:right w:val="none" w:sz="0" w:space="0" w:color="auto"/>
      </w:divBdr>
    </w:div>
    <w:div w:id="1516311827">
      <w:bodyDiv w:val="1"/>
      <w:marLeft w:val="0"/>
      <w:marRight w:val="0"/>
      <w:marTop w:val="0"/>
      <w:marBottom w:val="0"/>
      <w:divBdr>
        <w:top w:val="none" w:sz="0" w:space="0" w:color="auto"/>
        <w:left w:val="none" w:sz="0" w:space="0" w:color="auto"/>
        <w:bottom w:val="none" w:sz="0" w:space="0" w:color="auto"/>
        <w:right w:val="none" w:sz="0" w:space="0" w:color="auto"/>
      </w:divBdr>
    </w:div>
    <w:div w:id="1516457975">
      <w:bodyDiv w:val="1"/>
      <w:marLeft w:val="0"/>
      <w:marRight w:val="0"/>
      <w:marTop w:val="0"/>
      <w:marBottom w:val="0"/>
      <w:divBdr>
        <w:top w:val="none" w:sz="0" w:space="0" w:color="auto"/>
        <w:left w:val="none" w:sz="0" w:space="0" w:color="auto"/>
        <w:bottom w:val="none" w:sz="0" w:space="0" w:color="auto"/>
        <w:right w:val="none" w:sz="0" w:space="0" w:color="auto"/>
      </w:divBdr>
    </w:div>
    <w:div w:id="1518303278">
      <w:bodyDiv w:val="1"/>
      <w:marLeft w:val="0"/>
      <w:marRight w:val="0"/>
      <w:marTop w:val="0"/>
      <w:marBottom w:val="0"/>
      <w:divBdr>
        <w:top w:val="none" w:sz="0" w:space="0" w:color="auto"/>
        <w:left w:val="none" w:sz="0" w:space="0" w:color="auto"/>
        <w:bottom w:val="none" w:sz="0" w:space="0" w:color="auto"/>
        <w:right w:val="none" w:sz="0" w:space="0" w:color="auto"/>
      </w:divBdr>
    </w:div>
    <w:div w:id="1518932773">
      <w:bodyDiv w:val="1"/>
      <w:marLeft w:val="0"/>
      <w:marRight w:val="0"/>
      <w:marTop w:val="0"/>
      <w:marBottom w:val="0"/>
      <w:divBdr>
        <w:top w:val="none" w:sz="0" w:space="0" w:color="auto"/>
        <w:left w:val="none" w:sz="0" w:space="0" w:color="auto"/>
        <w:bottom w:val="none" w:sz="0" w:space="0" w:color="auto"/>
        <w:right w:val="none" w:sz="0" w:space="0" w:color="auto"/>
      </w:divBdr>
    </w:div>
    <w:div w:id="1520778250">
      <w:bodyDiv w:val="1"/>
      <w:marLeft w:val="0"/>
      <w:marRight w:val="0"/>
      <w:marTop w:val="0"/>
      <w:marBottom w:val="0"/>
      <w:divBdr>
        <w:top w:val="none" w:sz="0" w:space="0" w:color="auto"/>
        <w:left w:val="none" w:sz="0" w:space="0" w:color="auto"/>
        <w:bottom w:val="none" w:sz="0" w:space="0" w:color="auto"/>
        <w:right w:val="none" w:sz="0" w:space="0" w:color="auto"/>
      </w:divBdr>
    </w:div>
    <w:div w:id="1523208970">
      <w:bodyDiv w:val="1"/>
      <w:marLeft w:val="0"/>
      <w:marRight w:val="0"/>
      <w:marTop w:val="0"/>
      <w:marBottom w:val="0"/>
      <w:divBdr>
        <w:top w:val="none" w:sz="0" w:space="0" w:color="auto"/>
        <w:left w:val="none" w:sz="0" w:space="0" w:color="auto"/>
        <w:bottom w:val="none" w:sz="0" w:space="0" w:color="auto"/>
        <w:right w:val="none" w:sz="0" w:space="0" w:color="auto"/>
      </w:divBdr>
    </w:div>
    <w:div w:id="1526744607">
      <w:bodyDiv w:val="1"/>
      <w:marLeft w:val="0"/>
      <w:marRight w:val="0"/>
      <w:marTop w:val="0"/>
      <w:marBottom w:val="0"/>
      <w:divBdr>
        <w:top w:val="none" w:sz="0" w:space="0" w:color="auto"/>
        <w:left w:val="none" w:sz="0" w:space="0" w:color="auto"/>
        <w:bottom w:val="none" w:sz="0" w:space="0" w:color="auto"/>
        <w:right w:val="none" w:sz="0" w:space="0" w:color="auto"/>
      </w:divBdr>
    </w:div>
    <w:div w:id="1534925862">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1539318549">
      <w:bodyDiv w:val="1"/>
      <w:marLeft w:val="0"/>
      <w:marRight w:val="0"/>
      <w:marTop w:val="0"/>
      <w:marBottom w:val="0"/>
      <w:divBdr>
        <w:top w:val="none" w:sz="0" w:space="0" w:color="auto"/>
        <w:left w:val="none" w:sz="0" w:space="0" w:color="auto"/>
        <w:bottom w:val="none" w:sz="0" w:space="0" w:color="auto"/>
        <w:right w:val="none" w:sz="0" w:space="0" w:color="auto"/>
      </w:divBdr>
    </w:div>
    <w:div w:id="1539658563">
      <w:bodyDiv w:val="1"/>
      <w:marLeft w:val="0"/>
      <w:marRight w:val="0"/>
      <w:marTop w:val="0"/>
      <w:marBottom w:val="0"/>
      <w:divBdr>
        <w:top w:val="none" w:sz="0" w:space="0" w:color="auto"/>
        <w:left w:val="none" w:sz="0" w:space="0" w:color="auto"/>
        <w:bottom w:val="none" w:sz="0" w:space="0" w:color="auto"/>
        <w:right w:val="none" w:sz="0" w:space="0" w:color="auto"/>
      </w:divBdr>
    </w:div>
    <w:div w:id="1539856354">
      <w:bodyDiv w:val="1"/>
      <w:marLeft w:val="0"/>
      <w:marRight w:val="0"/>
      <w:marTop w:val="0"/>
      <w:marBottom w:val="0"/>
      <w:divBdr>
        <w:top w:val="none" w:sz="0" w:space="0" w:color="auto"/>
        <w:left w:val="none" w:sz="0" w:space="0" w:color="auto"/>
        <w:bottom w:val="none" w:sz="0" w:space="0" w:color="auto"/>
        <w:right w:val="none" w:sz="0" w:space="0" w:color="auto"/>
      </w:divBdr>
    </w:div>
    <w:div w:id="1540123153">
      <w:bodyDiv w:val="1"/>
      <w:marLeft w:val="0"/>
      <w:marRight w:val="0"/>
      <w:marTop w:val="0"/>
      <w:marBottom w:val="0"/>
      <w:divBdr>
        <w:top w:val="none" w:sz="0" w:space="0" w:color="auto"/>
        <w:left w:val="none" w:sz="0" w:space="0" w:color="auto"/>
        <w:bottom w:val="none" w:sz="0" w:space="0" w:color="auto"/>
        <w:right w:val="none" w:sz="0" w:space="0" w:color="auto"/>
      </w:divBdr>
    </w:div>
    <w:div w:id="1540241719">
      <w:bodyDiv w:val="1"/>
      <w:marLeft w:val="0"/>
      <w:marRight w:val="0"/>
      <w:marTop w:val="0"/>
      <w:marBottom w:val="0"/>
      <w:divBdr>
        <w:top w:val="none" w:sz="0" w:space="0" w:color="auto"/>
        <w:left w:val="none" w:sz="0" w:space="0" w:color="auto"/>
        <w:bottom w:val="none" w:sz="0" w:space="0" w:color="auto"/>
        <w:right w:val="none" w:sz="0" w:space="0" w:color="auto"/>
      </w:divBdr>
    </w:div>
    <w:div w:id="1540775537">
      <w:bodyDiv w:val="1"/>
      <w:marLeft w:val="0"/>
      <w:marRight w:val="0"/>
      <w:marTop w:val="0"/>
      <w:marBottom w:val="0"/>
      <w:divBdr>
        <w:top w:val="none" w:sz="0" w:space="0" w:color="auto"/>
        <w:left w:val="none" w:sz="0" w:space="0" w:color="auto"/>
        <w:bottom w:val="none" w:sz="0" w:space="0" w:color="auto"/>
        <w:right w:val="none" w:sz="0" w:space="0" w:color="auto"/>
      </w:divBdr>
    </w:div>
    <w:div w:id="1541238359">
      <w:bodyDiv w:val="1"/>
      <w:marLeft w:val="0"/>
      <w:marRight w:val="0"/>
      <w:marTop w:val="0"/>
      <w:marBottom w:val="0"/>
      <w:divBdr>
        <w:top w:val="none" w:sz="0" w:space="0" w:color="auto"/>
        <w:left w:val="none" w:sz="0" w:space="0" w:color="auto"/>
        <w:bottom w:val="none" w:sz="0" w:space="0" w:color="auto"/>
        <w:right w:val="none" w:sz="0" w:space="0" w:color="auto"/>
      </w:divBdr>
    </w:div>
    <w:div w:id="1542281417">
      <w:bodyDiv w:val="1"/>
      <w:marLeft w:val="0"/>
      <w:marRight w:val="0"/>
      <w:marTop w:val="0"/>
      <w:marBottom w:val="0"/>
      <w:divBdr>
        <w:top w:val="none" w:sz="0" w:space="0" w:color="auto"/>
        <w:left w:val="none" w:sz="0" w:space="0" w:color="auto"/>
        <w:bottom w:val="none" w:sz="0" w:space="0" w:color="auto"/>
        <w:right w:val="none" w:sz="0" w:space="0" w:color="auto"/>
      </w:divBdr>
    </w:div>
    <w:div w:id="1542863497">
      <w:bodyDiv w:val="1"/>
      <w:marLeft w:val="0"/>
      <w:marRight w:val="0"/>
      <w:marTop w:val="0"/>
      <w:marBottom w:val="0"/>
      <w:divBdr>
        <w:top w:val="none" w:sz="0" w:space="0" w:color="auto"/>
        <w:left w:val="none" w:sz="0" w:space="0" w:color="auto"/>
        <w:bottom w:val="none" w:sz="0" w:space="0" w:color="auto"/>
        <w:right w:val="none" w:sz="0" w:space="0" w:color="auto"/>
      </w:divBdr>
    </w:div>
    <w:div w:id="1545218096">
      <w:bodyDiv w:val="1"/>
      <w:marLeft w:val="0"/>
      <w:marRight w:val="0"/>
      <w:marTop w:val="0"/>
      <w:marBottom w:val="0"/>
      <w:divBdr>
        <w:top w:val="none" w:sz="0" w:space="0" w:color="auto"/>
        <w:left w:val="none" w:sz="0" w:space="0" w:color="auto"/>
        <w:bottom w:val="none" w:sz="0" w:space="0" w:color="auto"/>
        <w:right w:val="none" w:sz="0" w:space="0" w:color="auto"/>
      </w:divBdr>
    </w:div>
    <w:div w:id="1547638842">
      <w:bodyDiv w:val="1"/>
      <w:marLeft w:val="0"/>
      <w:marRight w:val="0"/>
      <w:marTop w:val="0"/>
      <w:marBottom w:val="0"/>
      <w:divBdr>
        <w:top w:val="none" w:sz="0" w:space="0" w:color="auto"/>
        <w:left w:val="none" w:sz="0" w:space="0" w:color="auto"/>
        <w:bottom w:val="none" w:sz="0" w:space="0" w:color="auto"/>
        <w:right w:val="none" w:sz="0" w:space="0" w:color="auto"/>
      </w:divBdr>
    </w:div>
    <w:div w:id="1550417648">
      <w:bodyDiv w:val="1"/>
      <w:marLeft w:val="0"/>
      <w:marRight w:val="0"/>
      <w:marTop w:val="0"/>
      <w:marBottom w:val="0"/>
      <w:divBdr>
        <w:top w:val="none" w:sz="0" w:space="0" w:color="auto"/>
        <w:left w:val="none" w:sz="0" w:space="0" w:color="auto"/>
        <w:bottom w:val="none" w:sz="0" w:space="0" w:color="auto"/>
        <w:right w:val="none" w:sz="0" w:space="0" w:color="auto"/>
      </w:divBdr>
    </w:div>
    <w:div w:id="1550459924">
      <w:bodyDiv w:val="1"/>
      <w:marLeft w:val="0"/>
      <w:marRight w:val="0"/>
      <w:marTop w:val="0"/>
      <w:marBottom w:val="0"/>
      <w:divBdr>
        <w:top w:val="none" w:sz="0" w:space="0" w:color="auto"/>
        <w:left w:val="none" w:sz="0" w:space="0" w:color="auto"/>
        <w:bottom w:val="none" w:sz="0" w:space="0" w:color="auto"/>
        <w:right w:val="none" w:sz="0" w:space="0" w:color="auto"/>
      </w:divBdr>
    </w:div>
    <w:div w:id="1550797471">
      <w:bodyDiv w:val="1"/>
      <w:marLeft w:val="0"/>
      <w:marRight w:val="0"/>
      <w:marTop w:val="0"/>
      <w:marBottom w:val="0"/>
      <w:divBdr>
        <w:top w:val="none" w:sz="0" w:space="0" w:color="auto"/>
        <w:left w:val="none" w:sz="0" w:space="0" w:color="auto"/>
        <w:bottom w:val="none" w:sz="0" w:space="0" w:color="auto"/>
        <w:right w:val="none" w:sz="0" w:space="0" w:color="auto"/>
      </w:divBdr>
    </w:div>
    <w:div w:id="1551841738">
      <w:bodyDiv w:val="1"/>
      <w:marLeft w:val="0"/>
      <w:marRight w:val="0"/>
      <w:marTop w:val="0"/>
      <w:marBottom w:val="0"/>
      <w:divBdr>
        <w:top w:val="none" w:sz="0" w:space="0" w:color="auto"/>
        <w:left w:val="none" w:sz="0" w:space="0" w:color="auto"/>
        <w:bottom w:val="none" w:sz="0" w:space="0" w:color="auto"/>
        <w:right w:val="none" w:sz="0" w:space="0" w:color="auto"/>
      </w:divBdr>
    </w:div>
    <w:div w:id="1552183703">
      <w:bodyDiv w:val="1"/>
      <w:marLeft w:val="0"/>
      <w:marRight w:val="0"/>
      <w:marTop w:val="0"/>
      <w:marBottom w:val="0"/>
      <w:divBdr>
        <w:top w:val="none" w:sz="0" w:space="0" w:color="auto"/>
        <w:left w:val="none" w:sz="0" w:space="0" w:color="auto"/>
        <w:bottom w:val="none" w:sz="0" w:space="0" w:color="auto"/>
        <w:right w:val="none" w:sz="0" w:space="0" w:color="auto"/>
      </w:divBdr>
    </w:div>
    <w:div w:id="1552424622">
      <w:bodyDiv w:val="1"/>
      <w:marLeft w:val="0"/>
      <w:marRight w:val="0"/>
      <w:marTop w:val="0"/>
      <w:marBottom w:val="0"/>
      <w:divBdr>
        <w:top w:val="none" w:sz="0" w:space="0" w:color="auto"/>
        <w:left w:val="none" w:sz="0" w:space="0" w:color="auto"/>
        <w:bottom w:val="none" w:sz="0" w:space="0" w:color="auto"/>
        <w:right w:val="none" w:sz="0" w:space="0" w:color="auto"/>
      </w:divBdr>
    </w:div>
    <w:div w:id="1554196996">
      <w:bodyDiv w:val="1"/>
      <w:marLeft w:val="0"/>
      <w:marRight w:val="0"/>
      <w:marTop w:val="0"/>
      <w:marBottom w:val="0"/>
      <w:divBdr>
        <w:top w:val="none" w:sz="0" w:space="0" w:color="auto"/>
        <w:left w:val="none" w:sz="0" w:space="0" w:color="auto"/>
        <w:bottom w:val="none" w:sz="0" w:space="0" w:color="auto"/>
        <w:right w:val="none" w:sz="0" w:space="0" w:color="auto"/>
      </w:divBdr>
    </w:div>
    <w:div w:id="1559632339">
      <w:bodyDiv w:val="1"/>
      <w:marLeft w:val="0"/>
      <w:marRight w:val="0"/>
      <w:marTop w:val="0"/>
      <w:marBottom w:val="0"/>
      <w:divBdr>
        <w:top w:val="none" w:sz="0" w:space="0" w:color="auto"/>
        <w:left w:val="none" w:sz="0" w:space="0" w:color="auto"/>
        <w:bottom w:val="none" w:sz="0" w:space="0" w:color="auto"/>
        <w:right w:val="none" w:sz="0" w:space="0" w:color="auto"/>
      </w:divBdr>
    </w:div>
    <w:div w:id="1564949765">
      <w:bodyDiv w:val="1"/>
      <w:marLeft w:val="0"/>
      <w:marRight w:val="0"/>
      <w:marTop w:val="0"/>
      <w:marBottom w:val="0"/>
      <w:divBdr>
        <w:top w:val="none" w:sz="0" w:space="0" w:color="auto"/>
        <w:left w:val="none" w:sz="0" w:space="0" w:color="auto"/>
        <w:bottom w:val="none" w:sz="0" w:space="0" w:color="auto"/>
        <w:right w:val="none" w:sz="0" w:space="0" w:color="auto"/>
      </w:divBdr>
    </w:div>
    <w:div w:id="1565291259">
      <w:bodyDiv w:val="1"/>
      <w:marLeft w:val="0"/>
      <w:marRight w:val="0"/>
      <w:marTop w:val="0"/>
      <w:marBottom w:val="0"/>
      <w:divBdr>
        <w:top w:val="none" w:sz="0" w:space="0" w:color="auto"/>
        <w:left w:val="none" w:sz="0" w:space="0" w:color="auto"/>
        <w:bottom w:val="none" w:sz="0" w:space="0" w:color="auto"/>
        <w:right w:val="none" w:sz="0" w:space="0" w:color="auto"/>
      </w:divBdr>
    </w:div>
    <w:div w:id="1568420058">
      <w:bodyDiv w:val="1"/>
      <w:marLeft w:val="0"/>
      <w:marRight w:val="0"/>
      <w:marTop w:val="0"/>
      <w:marBottom w:val="0"/>
      <w:divBdr>
        <w:top w:val="none" w:sz="0" w:space="0" w:color="auto"/>
        <w:left w:val="none" w:sz="0" w:space="0" w:color="auto"/>
        <w:bottom w:val="none" w:sz="0" w:space="0" w:color="auto"/>
        <w:right w:val="none" w:sz="0" w:space="0" w:color="auto"/>
      </w:divBdr>
    </w:div>
    <w:div w:id="1568764326">
      <w:bodyDiv w:val="1"/>
      <w:marLeft w:val="0"/>
      <w:marRight w:val="0"/>
      <w:marTop w:val="0"/>
      <w:marBottom w:val="0"/>
      <w:divBdr>
        <w:top w:val="none" w:sz="0" w:space="0" w:color="auto"/>
        <w:left w:val="none" w:sz="0" w:space="0" w:color="auto"/>
        <w:bottom w:val="none" w:sz="0" w:space="0" w:color="auto"/>
        <w:right w:val="none" w:sz="0" w:space="0" w:color="auto"/>
      </w:divBdr>
    </w:div>
    <w:div w:id="1572426269">
      <w:bodyDiv w:val="1"/>
      <w:marLeft w:val="0"/>
      <w:marRight w:val="0"/>
      <w:marTop w:val="0"/>
      <w:marBottom w:val="0"/>
      <w:divBdr>
        <w:top w:val="none" w:sz="0" w:space="0" w:color="auto"/>
        <w:left w:val="none" w:sz="0" w:space="0" w:color="auto"/>
        <w:bottom w:val="none" w:sz="0" w:space="0" w:color="auto"/>
        <w:right w:val="none" w:sz="0" w:space="0" w:color="auto"/>
      </w:divBdr>
    </w:div>
    <w:div w:id="1576936713">
      <w:bodyDiv w:val="1"/>
      <w:marLeft w:val="0"/>
      <w:marRight w:val="0"/>
      <w:marTop w:val="0"/>
      <w:marBottom w:val="0"/>
      <w:divBdr>
        <w:top w:val="none" w:sz="0" w:space="0" w:color="auto"/>
        <w:left w:val="none" w:sz="0" w:space="0" w:color="auto"/>
        <w:bottom w:val="none" w:sz="0" w:space="0" w:color="auto"/>
        <w:right w:val="none" w:sz="0" w:space="0" w:color="auto"/>
      </w:divBdr>
    </w:div>
    <w:div w:id="1580481772">
      <w:bodyDiv w:val="1"/>
      <w:marLeft w:val="0"/>
      <w:marRight w:val="0"/>
      <w:marTop w:val="0"/>
      <w:marBottom w:val="0"/>
      <w:divBdr>
        <w:top w:val="none" w:sz="0" w:space="0" w:color="auto"/>
        <w:left w:val="none" w:sz="0" w:space="0" w:color="auto"/>
        <w:bottom w:val="none" w:sz="0" w:space="0" w:color="auto"/>
        <w:right w:val="none" w:sz="0" w:space="0" w:color="auto"/>
      </w:divBdr>
    </w:div>
    <w:div w:id="1582567538">
      <w:bodyDiv w:val="1"/>
      <w:marLeft w:val="0"/>
      <w:marRight w:val="0"/>
      <w:marTop w:val="0"/>
      <w:marBottom w:val="0"/>
      <w:divBdr>
        <w:top w:val="none" w:sz="0" w:space="0" w:color="auto"/>
        <w:left w:val="none" w:sz="0" w:space="0" w:color="auto"/>
        <w:bottom w:val="none" w:sz="0" w:space="0" w:color="auto"/>
        <w:right w:val="none" w:sz="0" w:space="0" w:color="auto"/>
      </w:divBdr>
    </w:div>
    <w:div w:id="1583485133">
      <w:bodyDiv w:val="1"/>
      <w:marLeft w:val="0"/>
      <w:marRight w:val="0"/>
      <w:marTop w:val="0"/>
      <w:marBottom w:val="0"/>
      <w:divBdr>
        <w:top w:val="none" w:sz="0" w:space="0" w:color="auto"/>
        <w:left w:val="none" w:sz="0" w:space="0" w:color="auto"/>
        <w:bottom w:val="none" w:sz="0" w:space="0" w:color="auto"/>
        <w:right w:val="none" w:sz="0" w:space="0" w:color="auto"/>
      </w:divBdr>
    </w:div>
    <w:div w:id="1583879848">
      <w:bodyDiv w:val="1"/>
      <w:marLeft w:val="0"/>
      <w:marRight w:val="0"/>
      <w:marTop w:val="0"/>
      <w:marBottom w:val="0"/>
      <w:divBdr>
        <w:top w:val="none" w:sz="0" w:space="0" w:color="auto"/>
        <w:left w:val="none" w:sz="0" w:space="0" w:color="auto"/>
        <w:bottom w:val="none" w:sz="0" w:space="0" w:color="auto"/>
        <w:right w:val="none" w:sz="0" w:space="0" w:color="auto"/>
      </w:divBdr>
    </w:div>
    <w:div w:id="1585259911">
      <w:bodyDiv w:val="1"/>
      <w:marLeft w:val="0"/>
      <w:marRight w:val="0"/>
      <w:marTop w:val="0"/>
      <w:marBottom w:val="0"/>
      <w:divBdr>
        <w:top w:val="none" w:sz="0" w:space="0" w:color="auto"/>
        <w:left w:val="none" w:sz="0" w:space="0" w:color="auto"/>
        <w:bottom w:val="none" w:sz="0" w:space="0" w:color="auto"/>
        <w:right w:val="none" w:sz="0" w:space="0" w:color="auto"/>
      </w:divBdr>
    </w:div>
    <w:div w:id="1587182817">
      <w:bodyDiv w:val="1"/>
      <w:marLeft w:val="0"/>
      <w:marRight w:val="0"/>
      <w:marTop w:val="0"/>
      <w:marBottom w:val="0"/>
      <w:divBdr>
        <w:top w:val="none" w:sz="0" w:space="0" w:color="auto"/>
        <w:left w:val="none" w:sz="0" w:space="0" w:color="auto"/>
        <w:bottom w:val="none" w:sz="0" w:space="0" w:color="auto"/>
        <w:right w:val="none" w:sz="0" w:space="0" w:color="auto"/>
      </w:divBdr>
    </w:div>
    <w:div w:id="1587835665">
      <w:bodyDiv w:val="1"/>
      <w:marLeft w:val="0"/>
      <w:marRight w:val="0"/>
      <w:marTop w:val="0"/>
      <w:marBottom w:val="0"/>
      <w:divBdr>
        <w:top w:val="none" w:sz="0" w:space="0" w:color="auto"/>
        <w:left w:val="none" w:sz="0" w:space="0" w:color="auto"/>
        <w:bottom w:val="none" w:sz="0" w:space="0" w:color="auto"/>
        <w:right w:val="none" w:sz="0" w:space="0" w:color="auto"/>
      </w:divBdr>
    </w:div>
    <w:div w:id="1588342908">
      <w:bodyDiv w:val="1"/>
      <w:marLeft w:val="0"/>
      <w:marRight w:val="0"/>
      <w:marTop w:val="0"/>
      <w:marBottom w:val="0"/>
      <w:divBdr>
        <w:top w:val="none" w:sz="0" w:space="0" w:color="auto"/>
        <w:left w:val="none" w:sz="0" w:space="0" w:color="auto"/>
        <w:bottom w:val="none" w:sz="0" w:space="0" w:color="auto"/>
        <w:right w:val="none" w:sz="0" w:space="0" w:color="auto"/>
      </w:divBdr>
    </w:div>
    <w:div w:id="1589534738">
      <w:bodyDiv w:val="1"/>
      <w:marLeft w:val="0"/>
      <w:marRight w:val="0"/>
      <w:marTop w:val="0"/>
      <w:marBottom w:val="0"/>
      <w:divBdr>
        <w:top w:val="none" w:sz="0" w:space="0" w:color="auto"/>
        <w:left w:val="none" w:sz="0" w:space="0" w:color="auto"/>
        <w:bottom w:val="none" w:sz="0" w:space="0" w:color="auto"/>
        <w:right w:val="none" w:sz="0" w:space="0" w:color="auto"/>
      </w:divBdr>
    </w:div>
    <w:div w:id="1589578738">
      <w:bodyDiv w:val="1"/>
      <w:marLeft w:val="0"/>
      <w:marRight w:val="0"/>
      <w:marTop w:val="0"/>
      <w:marBottom w:val="0"/>
      <w:divBdr>
        <w:top w:val="none" w:sz="0" w:space="0" w:color="auto"/>
        <w:left w:val="none" w:sz="0" w:space="0" w:color="auto"/>
        <w:bottom w:val="none" w:sz="0" w:space="0" w:color="auto"/>
        <w:right w:val="none" w:sz="0" w:space="0" w:color="auto"/>
      </w:divBdr>
    </w:div>
    <w:div w:id="1589996147">
      <w:bodyDiv w:val="1"/>
      <w:marLeft w:val="0"/>
      <w:marRight w:val="0"/>
      <w:marTop w:val="0"/>
      <w:marBottom w:val="0"/>
      <w:divBdr>
        <w:top w:val="none" w:sz="0" w:space="0" w:color="auto"/>
        <w:left w:val="none" w:sz="0" w:space="0" w:color="auto"/>
        <w:bottom w:val="none" w:sz="0" w:space="0" w:color="auto"/>
        <w:right w:val="none" w:sz="0" w:space="0" w:color="auto"/>
      </w:divBdr>
    </w:div>
    <w:div w:id="1592153428">
      <w:bodyDiv w:val="1"/>
      <w:marLeft w:val="0"/>
      <w:marRight w:val="0"/>
      <w:marTop w:val="0"/>
      <w:marBottom w:val="0"/>
      <w:divBdr>
        <w:top w:val="none" w:sz="0" w:space="0" w:color="auto"/>
        <w:left w:val="none" w:sz="0" w:space="0" w:color="auto"/>
        <w:bottom w:val="none" w:sz="0" w:space="0" w:color="auto"/>
        <w:right w:val="none" w:sz="0" w:space="0" w:color="auto"/>
      </w:divBdr>
    </w:div>
    <w:div w:id="1598322163">
      <w:bodyDiv w:val="1"/>
      <w:marLeft w:val="0"/>
      <w:marRight w:val="0"/>
      <w:marTop w:val="0"/>
      <w:marBottom w:val="0"/>
      <w:divBdr>
        <w:top w:val="none" w:sz="0" w:space="0" w:color="auto"/>
        <w:left w:val="none" w:sz="0" w:space="0" w:color="auto"/>
        <w:bottom w:val="none" w:sz="0" w:space="0" w:color="auto"/>
        <w:right w:val="none" w:sz="0" w:space="0" w:color="auto"/>
      </w:divBdr>
    </w:div>
    <w:div w:id="1598370575">
      <w:bodyDiv w:val="1"/>
      <w:marLeft w:val="0"/>
      <w:marRight w:val="0"/>
      <w:marTop w:val="0"/>
      <w:marBottom w:val="0"/>
      <w:divBdr>
        <w:top w:val="none" w:sz="0" w:space="0" w:color="auto"/>
        <w:left w:val="none" w:sz="0" w:space="0" w:color="auto"/>
        <w:bottom w:val="none" w:sz="0" w:space="0" w:color="auto"/>
        <w:right w:val="none" w:sz="0" w:space="0" w:color="auto"/>
      </w:divBdr>
    </w:div>
    <w:div w:id="1601446598">
      <w:bodyDiv w:val="1"/>
      <w:marLeft w:val="0"/>
      <w:marRight w:val="0"/>
      <w:marTop w:val="0"/>
      <w:marBottom w:val="0"/>
      <w:divBdr>
        <w:top w:val="none" w:sz="0" w:space="0" w:color="auto"/>
        <w:left w:val="none" w:sz="0" w:space="0" w:color="auto"/>
        <w:bottom w:val="none" w:sz="0" w:space="0" w:color="auto"/>
        <w:right w:val="none" w:sz="0" w:space="0" w:color="auto"/>
      </w:divBdr>
    </w:div>
    <w:div w:id="1605259600">
      <w:bodyDiv w:val="1"/>
      <w:marLeft w:val="0"/>
      <w:marRight w:val="0"/>
      <w:marTop w:val="0"/>
      <w:marBottom w:val="0"/>
      <w:divBdr>
        <w:top w:val="none" w:sz="0" w:space="0" w:color="auto"/>
        <w:left w:val="none" w:sz="0" w:space="0" w:color="auto"/>
        <w:bottom w:val="none" w:sz="0" w:space="0" w:color="auto"/>
        <w:right w:val="none" w:sz="0" w:space="0" w:color="auto"/>
      </w:divBdr>
    </w:div>
    <w:div w:id="1607270747">
      <w:bodyDiv w:val="1"/>
      <w:marLeft w:val="0"/>
      <w:marRight w:val="0"/>
      <w:marTop w:val="0"/>
      <w:marBottom w:val="0"/>
      <w:divBdr>
        <w:top w:val="none" w:sz="0" w:space="0" w:color="auto"/>
        <w:left w:val="none" w:sz="0" w:space="0" w:color="auto"/>
        <w:bottom w:val="none" w:sz="0" w:space="0" w:color="auto"/>
        <w:right w:val="none" w:sz="0" w:space="0" w:color="auto"/>
      </w:divBdr>
    </w:div>
    <w:div w:id="1610503748">
      <w:bodyDiv w:val="1"/>
      <w:marLeft w:val="0"/>
      <w:marRight w:val="0"/>
      <w:marTop w:val="0"/>
      <w:marBottom w:val="0"/>
      <w:divBdr>
        <w:top w:val="none" w:sz="0" w:space="0" w:color="auto"/>
        <w:left w:val="none" w:sz="0" w:space="0" w:color="auto"/>
        <w:bottom w:val="none" w:sz="0" w:space="0" w:color="auto"/>
        <w:right w:val="none" w:sz="0" w:space="0" w:color="auto"/>
      </w:divBdr>
    </w:div>
    <w:div w:id="1611355132">
      <w:bodyDiv w:val="1"/>
      <w:marLeft w:val="0"/>
      <w:marRight w:val="0"/>
      <w:marTop w:val="0"/>
      <w:marBottom w:val="0"/>
      <w:divBdr>
        <w:top w:val="none" w:sz="0" w:space="0" w:color="auto"/>
        <w:left w:val="none" w:sz="0" w:space="0" w:color="auto"/>
        <w:bottom w:val="none" w:sz="0" w:space="0" w:color="auto"/>
        <w:right w:val="none" w:sz="0" w:space="0" w:color="auto"/>
      </w:divBdr>
    </w:div>
    <w:div w:id="1611934642">
      <w:bodyDiv w:val="1"/>
      <w:marLeft w:val="0"/>
      <w:marRight w:val="0"/>
      <w:marTop w:val="0"/>
      <w:marBottom w:val="0"/>
      <w:divBdr>
        <w:top w:val="none" w:sz="0" w:space="0" w:color="auto"/>
        <w:left w:val="none" w:sz="0" w:space="0" w:color="auto"/>
        <w:bottom w:val="none" w:sz="0" w:space="0" w:color="auto"/>
        <w:right w:val="none" w:sz="0" w:space="0" w:color="auto"/>
      </w:divBdr>
    </w:div>
    <w:div w:id="1612592988">
      <w:bodyDiv w:val="1"/>
      <w:marLeft w:val="0"/>
      <w:marRight w:val="0"/>
      <w:marTop w:val="0"/>
      <w:marBottom w:val="0"/>
      <w:divBdr>
        <w:top w:val="none" w:sz="0" w:space="0" w:color="auto"/>
        <w:left w:val="none" w:sz="0" w:space="0" w:color="auto"/>
        <w:bottom w:val="none" w:sz="0" w:space="0" w:color="auto"/>
        <w:right w:val="none" w:sz="0" w:space="0" w:color="auto"/>
      </w:divBdr>
    </w:div>
    <w:div w:id="1613708005">
      <w:bodyDiv w:val="1"/>
      <w:marLeft w:val="0"/>
      <w:marRight w:val="0"/>
      <w:marTop w:val="0"/>
      <w:marBottom w:val="0"/>
      <w:divBdr>
        <w:top w:val="none" w:sz="0" w:space="0" w:color="auto"/>
        <w:left w:val="none" w:sz="0" w:space="0" w:color="auto"/>
        <w:bottom w:val="none" w:sz="0" w:space="0" w:color="auto"/>
        <w:right w:val="none" w:sz="0" w:space="0" w:color="auto"/>
      </w:divBdr>
    </w:div>
    <w:div w:id="1616474668">
      <w:bodyDiv w:val="1"/>
      <w:marLeft w:val="0"/>
      <w:marRight w:val="0"/>
      <w:marTop w:val="0"/>
      <w:marBottom w:val="0"/>
      <w:divBdr>
        <w:top w:val="none" w:sz="0" w:space="0" w:color="auto"/>
        <w:left w:val="none" w:sz="0" w:space="0" w:color="auto"/>
        <w:bottom w:val="none" w:sz="0" w:space="0" w:color="auto"/>
        <w:right w:val="none" w:sz="0" w:space="0" w:color="auto"/>
      </w:divBdr>
    </w:div>
    <w:div w:id="1618024801">
      <w:bodyDiv w:val="1"/>
      <w:marLeft w:val="0"/>
      <w:marRight w:val="0"/>
      <w:marTop w:val="0"/>
      <w:marBottom w:val="0"/>
      <w:divBdr>
        <w:top w:val="none" w:sz="0" w:space="0" w:color="auto"/>
        <w:left w:val="none" w:sz="0" w:space="0" w:color="auto"/>
        <w:bottom w:val="none" w:sz="0" w:space="0" w:color="auto"/>
        <w:right w:val="none" w:sz="0" w:space="0" w:color="auto"/>
      </w:divBdr>
    </w:div>
    <w:div w:id="1622346566">
      <w:bodyDiv w:val="1"/>
      <w:marLeft w:val="0"/>
      <w:marRight w:val="0"/>
      <w:marTop w:val="0"/>
      <w:marBottom w:val="0"/>
      <w:divBdr>
        <w:top w:val="none" w:sz="0" w:space="0" w:color="auto"/>
        <w:left w:val="none" w:sz="0" w:space="0" w:color="auto"/>
        <w:bottom w:val="none" w:sz="0" w:space="0" w:color="auto"/>
        <w:right w:val="none" w:sz="0" w:space="0" w:color="auto"/>
      </w:divBdr>
    </w:div>
    <w:div w:id="1625112658">
      <w:bodyDiv w:val="1"/>
      <w:marLeft w:val="0"/>
      <w:marRight w:val="0"/>
      <w:marTop w:val="0"/>
      <w:marBottom w:val="0"/>
      <w:divBdr>
        <w:top w:val="none" w:sz="0" w:space="0" w:color="auto"/>
        <w:left w:val="none" w:sz="0" w:space="0" w:color="auto"/>
        <w:bottom w:val="none" w:sz="0" w:space="0" w:color="auto"/>
        <w:right w:val="none" w:sz="0" w:space="0" w:color="auto"/>
      </w:divBdr>
    </w:div>
    <w:div w:id="1630697551">
      <w:bodyDiv w:val="1"/>
      <w:marLeft w:val="0"/>
      <w:marRight w:val="0"/>
      <w:marTop w:val="0"/>
      <w:marBottom w:val="0"/>
      <w:divBdr>
        <w:top w:val="none" w:sz="0" w:space="0" w:color="auto"/>
        <w:left w:val="none" w:sz="0" w:space="0" w:color="auto"/>
        <w:bottom w:val="none" w:sz="0" w:space="0" w:color="auto"/>
        <w:right w:val="none" w:sz="0" w:space="0" w:color="auto"/>
      </w:divBdr>
    </w:div>
    <w:div w:id="1630864999">
      <w:bodyDiv w:val="1"/>
      <w:marLeft w:val="0"/>
      <w:marRight w:val="0"/>
      <w:marTop w:val="0"/>
      <w:marBottom w:val="0"/>
      <w:divBdr>
        <w:top w:val="none" w:sz="0" w:space="0" w:color="auto"/>
        <w:left w:val="none" w:sz="0" w:space="0" w:color="auto"/>
        <w:bottom w:val="none" w:sz="0" w:space="0" w:color="auto"/>
        <w:right w:val="none" w:sz="0" w:space="0" w:color="auto"/>
      </w:divBdr>
    </w:div>
    <w:div w:id="1631935500">
      <w:bodyDiv w:val="1"/>
      <w:marLeft w:val="0"/>
      <w:marRight w:val="0"/>
      <w:marTop w:val="0"/>
      <w:marBottom w:val="0"/>
      <w:divBdr>
        <w:top w:val="none" w:sz="0" w:space="0" w:color="auto"/>
        <w:left w:val="none" w:sz="0" w:space="0" w:color="auto"/>
        <w:bottom w:val="none" w:sz="0" w:space="0" w:color="auto"/>
        <w:right w:val="none" w:sz="0" w:space="0" w:color="auto"/>
      </w:divBdr>
    </w:div>
    <w:div w:id="1632325666">
      <w:bodyDiv w:val="1"/>
      <w:marLeft w:val="0"/>
      <w:marRight w:val="0"/>
      <w:marTop w:val="0"/>
      <w:marBottom w:val="0"/>
      <w:divBdr>
        <w:top w:val="none" w:sz="0" w:space="0" w:color="auto"/>
        <w:left w:val="none" w:sz="0" w:space="0" w:color="auto"/>
        <w:bottom w:val="none" w:sz="0" w:space="0" w:color="auto"/>
        <w:right w:val="none" w:sz="0" w:space="0" w:color="auto"/>
      </w:divBdr>
    </w:div>
    <w:div w:id="1637564694">
      <w:bodyDiv w:val="1"/>
      <w:marLeft w:val="0"/>
      <w:marRight w:val="0"/>
      <w:marTop w:val="0"/>
      <w:marBottom w:val="0"/>
      <w:divBdr>
        <w:top w:val="none" w:sz="0" w:space="0" w:color="auto"/>
        <w:left w:val="none" w:sz="0" w:space="0" w:color="auto"/>
        <w:bottom w:val="none" w:sz="0" w:space="0" w:color="auto"/>
        <w:right w:val="none" w:sz="0" w:space="0" w:color="auto"/>
      </w:divBdr>
    </w:div>
    <w:div w:id="1650792504">
      <w:bodyDiv w:val="1"/>
      <w:marLeft w:val="0"/>
      <w:marRight w:val="0"/>
      <w:marTop w:val="0"/>
      <w:marBottom w:val="0"/>
      <w:divBdr>
        <w:top w:val="none" w:sz="0" w:space="0" w:color="auto"/>
        <w:left w:val="none" w:sz="0" w:space="0" w:color="auto"/>
        <w:bottom w:val="none" w:sz="0" w:space="0" w:color="auto"/>
        <w:right w:val="none" w:sz="0" w:space="0" w:color="auto"/>
      </w:divBdr>
    </w:div>
    <w:div w:id="1652521858">
      <w:bodyDiv w:val="1"/>
      <w:marLeft w:val="0"/>
      <w:marRight w:val="0"/>
      <w:marTop w:val="0"/>
      <w:marBottom w:val="0"/>
      <w:divBdr>
        <w:top w:val="none" w:sz="0" w:space="0" w:color="auto"/>
        <w:left w:val="none" w:sz="0" w:space="0" w:color="auto"/>
        <w:bottom w:val="none" w:sz="0" w:space="0" w:color="auto"/>
        <w:right w:val="none" w:sz="0" w:space="0" w:color="auto"/>
      </w:divBdr>
    </w:div>
    <w:div w:id="1654217285">
      <w:bodyDiv w:val="1"/>
      <w:marLeft w:val="0"/>
      <w:marRight w:val="0"/>
      <w:marTop w:val="0"/>
      <w:marBottom w:val="0"/>
      <w:divBdr>
        <w:top w:val="none" w:sz="0" w:space="0" w:color="auto"/>
        <w:left w:val="none" w:sz="0" w:space="0" w:color="auto"/>
        <w:bottom w:val="none" w:sz="0" w:space="0" w:color="auto"/>
        <w:right w:val="none" w:sz="0" w:space="0" w:color="auto"/>
      </w:divBdr>
    </w:div>
    <w:div w:id="1657151736">
      <w:bodyDiv w:val="1"/>
      <w:marLeft w:val="0"/>
      <w:marRight w:val="0"/>
      <w:marTop w:val="0"/>
      <w:marBottom w:val="0"/>
      <w:divBdr>
        <w:top w:val="none" w:sz="0" w:space="0" w:color="auto"/>
        <w:left w:val="none" w:sz="0" w:space="0" w:color="auto"/>
        <w:bottom w:val="none" w:sz="0" w:space="0" w:color="auto"/>
        <w:right w:val="none" w:sz="0" w:space="0" w:color="auto"/>
      </w:divBdr>
    </w:div>
    <w:div w:id="1659000578">
      <w:bodyDiv w:val="1"/>
      <w:marLeft w:val="0"/>
      <w:marRight w:val="0"/>
      <w:marTop w:val="0"/>
      <w:marBottom w:val="0"/>
      <w:divBdr>
        <w:top w:val="none" w:sz="0" w:space="0" w:color="auto"/>
        <w:left w:val="none" w:sz="0" w:space="0" w:color="auto"/>
        <w:bottom w:val="none" w:sz="0" w:space="0" w:color="auto"/>
        <w:right w:val="none" w:sz="0" w:space="0" w:color="auto"/>
      </w:divBdr>
      <w:divsChild>
        <w:div w:id="14157550">
          <w:marLeft w:val="360"/>
          <w:marRight w:val="0"/>
          <w:marTop w:val="240"/>
          <w:marBottom w:val="0"/>
          <w:divBdr>
            <w:top w:val="none" w:sz="0" w:space="0" w:color="auto"/>
            <w:left w:val="none" w:sz="0" w:space="0" w:color="auto"/>
            <w:bottom w:val="none" w:sz="0" w:space="0" w:color="auto"/>
            <w:right w:val="none" w:sz="0" w:space="0" w:color="auto"/>
          </w:divBdr>
        </w:div>
        <w:div w:id="2011133226">
          <w:marLeft w:val="360"/>
          <w:marRight w:val="0"/>
          <w:marTop w:val="240"/>
          <w:marBottom w:val="0"/>
          <w:divBdr>
            <w:top w:val="none" w:sz="0" w:space="0" w:color="auto"/>
            <w:left w:val="none" w:sz="0" w:space="0" w:color="auto"/>
            <w:bottom w:val="none" w:sz="0" w:space="0" w:color="auto"/>
            <w:right w:val="none" w:sz="0" w:space="0" w:color="auto"/>
          </w:divBdr>
        </w:div>
      </w:divsChild>
    </w:div>
    <w:div w:id="1660301833">
      <w:bodyDiv w:val="1"/>
      <w:marLeft w:val="0"/>
      <w:marRight w:val="0"/>
      <w:marTop w:val="0"/>
      <w:marBottom w:val="0"/>
      <w:divBdr>
        <w:top w:val="none" w:sz="0" w:space="0" w:color="auto"/>
        <w:left w:val="none" w:sz="0" w:space="0" w:color="auto"/>
        <w:bottom w:val="none" w:sz="0" w:space="0" w:color="auto"/>
        <w:right w:val="none" w:sz="0" w:space="0" w:color="auto"/>
      </w:divBdr>
    </w:div>
    <w:div w:id="1661274326">
      <w:bodyDiv w:val="1"/>
      <w:marLeft w:val="0"/>
      <w:marRight w:val="0"/>
      <w:marTop w:val="0"/>
      <w:marBottom w:val="0"/>
      <w:divBdr>
        <w:top w:val="none" w:sz="0" w:space="0" w:color="auto"/>
        <w:left w:val="none" w:sz="0" w:space="0" w:color="auto"/>
        <w:bottom w:val="none" w:sz="0" w:space="0" w:color="auto"/>
        <w:right w:val="none" w:sz="0" w:space="0" w:color="auto"/>
      </w:divBdr>
      <w:divsChild>
        <w:div w:id="831873594">
          <w:marLeft w:val="547"/>
          <w:marRight w:val="0"/>
          <w:marTop w:val="0"/>
          <w:marBottom w:val="0"/>
          <w:divBdr>
            <w:top w:val="none" w:sz="0" w:space="0" w:color="auto"/>
            <w:left w:val="none" w:sz="0" w:space="0" w:color="auto"/>
            <w:bottom w:val="none" w:sz="0" w:space="0" w:color="auto"/>
            <w:right w:val="none" w:sz="0" w:space="0" w:color="auto"/>
          </w:divBdr>
        </w:div>
      </w:divsChild>
    </w:div>
    <w:div w:id="1661958899">
      <w:bodyDiv w:val="1"/>
      <w:marLeft w:val="0"/>
      <w:marRight w:val="0"/>
      <w:marTop w:val="0"/>
      <w:marBottom w:val="0"/>
      <w:divBdr>
        <w:top w:val="none" w:sz="0" w:space="0" w:color="auto"/>
        <w:left w:val="none" w:sz="0" w:space="0" w:color="auto"/>
        <w:bottom w:val="none" w:sz="0" w:space="0" w:color="auto"/>
        <w:right w:val="none" w:sz="0" w:space="0" w:color="auto"/>
      </w:divBdr>
    </w:div>
    <w:div w:id="1664161332">
      <w:bodyDiv w:val="1"/>
      <w:marLeft w:val="0"/>
      <w:marRight w:val="0"/>
      <w:marTop w:val="0"/>
      <w:marBottom w:val="0"/>
      <w:divBdr>
        <w:top w:val="none" w:sz="0" w:space="0" w:color="auto"/>
        <w:left w:val="none" w:sz="0" w:space="0" w:color="auto"/>
        <w:bottom w:val="none" w:sz="0" w:space="0" w:color="auto"/>
        <w:right w:val="none" w:sz="0" w:space="0" w:color="auto"/>
      </w:divBdr>
    </w:div>
    <w:div w:id="1664552660">
      <w:bodyDiv w:val="1"/>
      <w:marLeft w:val="0"/>
      <w:marRight w:val="0"/>
      <w:marTop w:val="0"/>
      <w:marBottom w:val="0"/>
      <w:divBdr>
        <w:top w:val="none" w:sz="0" w:space="0" w:color="auto"/>
        <w:left w:val="none" w:sz="0" w:space="0" w:color="auto"/>
        <w:bottom w:val="none" w:sz="0" w:space="0" w:color="auto"/>
        <w:right w:val="none" w:sz="0" w:space="0" w:color="auto"/>
      </w:divBdr>
    </w:div>
    <w:div w:id="1664818119">
      <w:bodyDiv w:val="1"/>
      <w:marLeft w:val="0"/>
      <w:marRight w:val="0"/>
      <w:marTop w:val="0"/>
      <w:marBottom w:val="0"/>
      <w:divBdr>
        <w:top w:val="none" w:sz="0" w:space="0" w:color="auto"/>
        <w:left w:val="none" w:sz="0" w:space="0" w:color="auto"/>
        <w:bottom w:val="none" w:sz="0" w:space="0" w:color="auto"/>
        <w:right w:val="none" w:sz="0" w:space="0" w:color="auto"/>
      </w:divBdr>
    </w:div>
    <w:div w:id="1665937066">
      <w:bodyDiv w:val="1"/>
      <w:marLeft w:val="0"/>
      <w:marRight w:val="0"/>
      <w:marTop w:val="0"/>
      <w:marBottom w:val="0"/>
      <w:divBdr>
        <w:top w:val="none" w:sz="0" w:space="0" w:color="auto"/>
        <w:left w:val="none" w:sz="0" w:space="0" w:color="auto"/>
        <w:bottom w:val="none" w:sz="0" w:space="0" w:color="auto"/>
        <w:right w:val="none" w:sz="0" w:space="0" w:color="auto"/>
      </w:divBdr>
    </w:div>
    <w:div w:id="1672560541">
      <w:bodyDiv w:val="1"/>
      <w:marLeft w:val="0"/>
      <w:marRight w:val="0"/>
      <w:marTop w:val="0"/>
      <w:marBottom w:val="0"/>
      <w:divBdr>
        <w:top w:val="none" w:sz="0" w:space="0" w:color="auto"/>
        <w:left w:val="none" w:sz="0" w:space="0" w:color="auto"/>
        <w:bottom w:val="none" w:sz="0" w:space="0" w:color="auto"/>
        <w:right w:val="none" w:sz="0" w:space="0" w:color="auto"/>
      </w:divBdr>
    </w:div>
    <w:div w:id="1675720844">
      <w:bodyDiv w:val="1"/>
      <w:marLeft w:val="0"/>
      <w:marRight w:val="0"/>
      <w:marTop w:val="0"/>
      <w:marBottom w:val="0"/>
      <w:divBdr>
        <w:top w:val="none" w:sz="0" w:space="0" w:color="auto"/>
        <w:left w:val="none" w:sz="0" w:space="0" w:color="auto"/>
        <w:bottom w:val="none" w:sz="0" w:space="0" w:color="auto"/>
        <w:right w:val="none" w:sz="0" w:space="0" w:color="auto"/>
      </w:divBdr>
    </w:div>
    <w:div w:id="1679498084">
      <w:bodyDiv w:val="1"/>
      <w:marLeft w:val="0"/>
      <w:marRight w:val="0"/>
      <w:marTop w:val="0"/>
      <w:marBottom w:val="0"/>
      <w:divBdr>
        <w:top w:val="none" w:sz="0" w:space="0" w:color="auto"/>
        <w:left w:val="none" w:sz="0" w:space="0" w:color="auto"/>
        <w:bottom w:val="none" w:sz="0" w:space="0" w:color="auto"/>
        <w:right w:val="none" w:sz="0" w:space="0" w:color="auto"/>
      </w:divBdr>
    </w:div>
    <w:div w:id="1684090045">
      <w:bodyDiv w:val="1"/>
      <w:marLeft w:val="0"/>
      <w:marRight w:val="0"/>
      <w:marTop w:val="0"/>
      <w:marBottom w:val="0"/>
      <w:divBdr>
        <w:top w:val="none" w:sz="0" w:space="0" w:color="auto"/>
        <w:left w:val="none" w:sz="0" w:space="0" w:color="auto"/>
        <w:bottom w:val="none" w:sz="0" w:space="0" w:color="auto"/>
        <w:right w:val="none" w:sz="0" w:space="0" w:color="auto"/>
      </w:divBdr>
    </w:div>
    <w:div w:id="1685129156">
      <w:bodyDiv w:val="1"/>
      <w:marLeft w:val="0"/>
      <w:marRight w:val="0"/>
      <w:marTop w:val="0"/>
      <w:marBottom w:val="0"/>
      <w:divBdr>
        <w:top w:val="none" w:sz="0" w:space="0" w:color="auto"/>
        <w:left w:val="none" w:sz="0" w:space="0" w:color="auto"/>
        <w:bottom w:val="none" w:sz="0" w:space="0" w:color="auto"/>
        <w:right w:val="none" w:sz="0" w:space="0" w:color="auto"/>
      </w:divBdr>
    </w:div>
    <w:div w:id="1688170191">
      <w:bodyDiv w:val="1"/>
      <w:marLeft w:val="0"/>
      <w:marRight w:val="0"/>
      <w:marTop w:val="0"/>
      <w:marBottom w:val="0"/>
      <w:divBdr>
        <w:top w:val="none" w:sz="0" w:space="0" w:color="auto"/>
        <w:left w:val="none" w:sz="0" w:space="0" w:color="auto"/>
        <w:bottom w:val="none" w:sz="0" w:space="0" w:color="auto"/>
        <w:right w:val="none" w:sz="0" w:space="0" w:color="auto"/>
      </w:divBdr>
    </w:div>
    <w:div w:id="1688408567">
      <w:bodyDiv w:val="1"/>
      <w:marLeft w:val="0"/>
      <w:marRight w:val="0"/>
      <w:marTop w:val="0"/>
      <w:marBottom w:val="0"/>
      <w:divBdr>
        <w:top w:val="none" w:sz="0" w:space="0" w:color="auto"/>
        <w:left w:val="none" w:sz="0" w:space="0" w:color="auto"/>
        <w:bottom w:val="none" w:sz="0" w:space="0" w:color="auto"/>
        <w:right w:val="none" w:sz="0" w:space="0" w:color="auto"/>
      </w:divBdr>
    </w:div>
    <w:div w:id="1689018949">
      <w:bodyDiv w:val="1"/>
      <w:marLeft w:val="0"/>
      <w:marRight w:val="0"/>
      <w:marTop w:val="0"/>
      <w:marBottom w:val="0"/>
      <w:divBdr>
        <w:top w:val="none" w:sz="0" w:space="0" w:color="auto"/>
        <w:left w:val="none" w:sz="0" w:space="0" w:color="auto"/>
        <w:bottom w:val="none" w:sz="0" w:space="0" w:color="auto"/>
        <w:right w:val="none" w:sz="0" w:space="0" w:color="auto"/>
      </w:divBdr>
    </w:div>
    <w:div w:id="1689484463">
      <w:bodyDiv w:val="1"/>
      <w:marLeft w:val="0"/>
      <w:marRight w:val="0"/>
      <w:marTop w:val="0"/>
      <w:marBottom w:val="0"/>
      <w:divBdr>
        <w:top w:val="none" w:sz="0" w:space="0" w:color="auto"/>
        <w:left w:val="none" w:sz="0" w:space="0" w:color="auto"/>
        <w:bottom w:val="none" w:sz="0" w:space="0" w:color="auto"/>
        <w:right w:val="none" w:sz="0" w:space="0" w:color="auto"/>
      </w:divBdr>
    </w:div>
    <w:div w:id="1690595220">
      <w:bodyDiv w:val="1"/>
      <w:marLeft w:val="0"/>
      <w:marRight w:val="0"/>
      <w:marTop w:val="0"/>
      <w:marBottom w:val="0"/>
      <w:divBdr>
        <w:top w:val="none" w:sz="0" w:space="0" w:color="auto"/>
        <w:left w:val="none" w:sz="0" w:space="0" w:color="auto"/>
        <w:bottom w:val="none" w:sz="0" w:space="0" w:color="auto"/>
        <w:right w:val="none" w:sz="0" w:space="0" w:color="auto"/>
      </w:divBdr>
    </w:div>
    <w:div w:id="1694761984">
      <w:bodyDiv w:val="1"/>
      <w:marLeft w:val="0"/>
      <w:marRight w:val="0"/>
      <w:marTop w:val="0"/>
      <w:marBottom w:val="0"/>
      <w:divBdr>
        <w:top w:val="none" w:sz="0" w:space="0" w:color="auto"/>
        <w:left w:val="none" w:sz="0" w:space="0" w:color="auto"/>
        <w:bottom w:val="none" w:sz="0" w:space="0" w:color="auto"/>
        <w:right w:val="none" w:sz="0" w:space="0" w:color="auto"/>
      </w:divBdr>
    </w:div>
    <w:div w:id="1694847012">
      <w:bodyDiv w:val="1"/>
      <w:marLeft w:val="0"/>
      <w:marRight w:val="0"/>
      <w:marTop w:val="0"/>
      <w:marBottom w:val="0"/>
      <w:divBdr>
        <w:top w:val="none" w:sz="0" w:space="0" w:color="auto"/>
        <w:left w:val="none" w:sz="0" w:space="0" w:color="auto"/>
        <w:bottom w:val="none" w:sz="0" w:space="0" w:color="auto"/>
        <w:right w:val="none" w:sz="0" w:space="0" w:color="auto"/>
      </w:divBdr>
    </w:div>
    <w:div w:id="1695423597">
      <w:bodyDiv w:val="1"/>
      <w:marLeft w:val="0"/>
      <w:marRight w:val="0"/>
      <w:marTop w:val="0"/>
      <w:marBottom w:val="0"/>
      <w:divBdr>
        <w:top w:val="none" w:sz="0" w:space="0" w:color="auto"/>
        <w:left w:val="none" w:sz="0" w:space="0" w:color="auto"/>
        <w:bottom w:val="none" w:sz="0" w:space="0" w:color="auto"/>
        <w:right w:val="none" w:sz="0" w:space="0" w:color="auto"/>
      </w:divBdr>
    </w:div>
    <w:div w:id="1697537834">
      <w:bodyDiv w:val="1"/>
      <w:marLeft w:val="0"/>
      <w:marRight w:val="0"/>
      <w:marTop w:val="0"/>
      <w:marBottom w:val="0"/>
      <w:divBdr>
        <w:top w:val="none" w:sz="0" w:space="0" w:color="auto"/>
        <w:left w:val="none" w:sz="0" w:space="0" w:color="auto"/>
        <w:bottom w:val="none" w:sz="0" w:space="0" w:color="auto"/>
        <w:right w:val="none" w:sz="0" w:space="0" w:color="auto"/>
      </w:divBdr>
    </w:div>
    <w:div w:id="1698307791">
      <w:bodyDiv w:val="1"/>
      <w:marLeft w:val="0"/>
      <w:marRight w:val="0"/>
      <w:marTop w:val="0"/>
      <w:marBottom w:val="0"/>
      <w:divBdr>
        <w:top w:val="none" w:sz="0" w:space="0" w:color="auto"/>
        <w:left w:val="none" w:sz="0" w:space="0" w:color="auto"/>
        <w:bottom w:val="none" w:sz="0" w:space="0" w:color="auto"/>
        <w:right w:val="none" w:sz="0" w:space="0" w:color="auto"/>
      </w:divBdr>
    </w:div>
    <w:div w:id="1698382822">
      <w:bodyDiv w:val="1"/>
      <w:marLeft w:val="0"/>
      <w:marRight w:val="0"/>
      <w:marTop w:val="0"/>
      <w:marBottom w:val="0"/>
      <w:divBdr>
        <w:top w:val="none" w:sz="0" w:space="0" w:color="auto"/>
        <w:left w:val="none" w:sz="0" w:space="0" w:color="auto"/>
        <w:bottom w:val="none" w:sz="0" w:space="0" w:color="auto"/>
        <w:right w:val="none" w:sz="0" w:space="0" w:color="auto"/>
      </w:divBdr>
    </w:div>
    <w:div w:id="1702706343">
      <w:bodyDiv w:val="1"/>
      <w:marLeft w:val="0"/>
      <w:marRight w:val="0"/>
      <w:marTop w:val="0"/>
      <w:marBottom w:val="0"/>
      <w:divBdr>
        <w:top w:val="none" w:sz="0" w:space="0" w:color="auto"/>
        <w:left w:val="none" w:sz="0" w:space="0" w:color="auto"/>
        <w:bottom w:val="none" w:sz="0" w:space="0" w:color="auto"/>
        <w:right w:val="none" w:sz="0" w:space="0" w:color="auto"/>
      </w:divBdr>
    </w:div>
    <w:div w:id="1704331733">
      <w:bodyDiv w:val="1"/>
      <w:marLeft w:val="0"/>
      <w:marRight w:val="0"/>
      <w:marTop w:val="0"/>
      <w:marBottom w:val="0"/>
      <w:divBdr>
        <w:top w:val="none" w:sz="0" w:space="0" w:color="auto"/>
        <w:left w:val="none" w:sz="0" w:space="0" w:color="auto"/>
        <w:bottom w:val="none" w:sz="0" w:space="0" w:color="auto"/>
        <w:right w:val="none" w:sz="0" w:space="0" w:color="auto"/>
      </w:divBdr>
    </w:div>
    <w:div w:id="1705671140">
      <w:bodyDiv w:val="1"/>
      <w:marLeft w:val="0"/>
      <w:marRight w:val="0"/>
      <w:marTop w:val="0"/>
      <w:marBottom w:val="0"/>
      <w:divBdr>
        <w:top w:val="none" w:sz="0" w:space="0" w:color="auto"/>
        <w:left w:val="none" w:sz="0" w:space="0" w:color="auto"/>
        <w:bottom w:val="none" w:sz="0" w:space="0" w:color="auto"/>
        <w:right w:val="none" w:sz="0" w:space="0" w:color="auto"/>
      </w:divBdr>
    </w:div>
    <w:div w:id="1705910631">
      <w:bodyDiv w:val="1"/>
      <w:marLeft w:val="0"/>
      <w:marRight w:val="0"/>
      <w:marTop w:val="0"/>
      <w:marBottom w:val="0"/>
      <w:divBdr>
        <w:top w:val="none" w:sz="0" w:space="0" w:color="auto"/>
        <w:left w:val="none" w:sz="0" w:space="0" w:color="auto"/>
        <w:bottom w:val="none" w:sz="0" w:space="0" w:color="auto"/>
        <w:right w:val="none" w:sz="0" w:space="0" w:color="auto"/>
      </w:divBdr>
    </w:div>
    <w:div w:id="1711414592">
      <w:bodyDiv w:val="1"/>
      <w:marLeft w:val="0"/>
      <w:marRight w:val="0"/>
      <w:marTop w:val="0"/>
      <w:marBottom w:val="0"/>
      <w:divBdr>
        <w:top w:val="none" w:sz="0" w:space="0" w:color="auto"/>
        <w:left w:val="none" w:sz="0" w:space="0" w:color="auto"/>
        <w:bottom w:val="none" w:sz="0" w:space="0" w:color="auto"/>
        <w:right w:val="none" w:sz="0" w:space="0" w:color="auto"/>
      </w:divBdr>
    </w:div>
    <w:div w:id="1711611246">
      <w:bodyDiv w:val="1"/>
      <w:marLeft w:val="0"/>
      <w:marRight w:val="0"/>
      <w:marTop w:val="0"/>
      <w:marBottom w:val="0"/>
      <w:divBdr>
        <w:top w:val="none" w:sz="0" w:space="0" w:color="auto"/>
        <w:left w:val="none" w:sz="0" w:space="0" w:color="auto"/>
        <w:bottom w:val="none" w:sz="0" w:space="0" w:color="auto"/>
        <w:right w:val="none" w:sz="0" w:space="0" w:color="auto"/>
      </w:divBdr>
    </w:div>
    <w:div w:id="1712411629">
      <w:bodyDiv w:val="1"/>
      <w:marLeft w:val="0"/>
      <w:marRight w:val="0"/>
      <w:marTop w:val="0"/>
      <w:marBottom w:val="0"/>
      <w:divBdr>
        <w:top w:val="none" w:sz="0" w:space="0" w:color="auto"/>
        <w:left w:val="none" w:sz="0" w:space="0" w:color="auto"/>
        <w:bottom w:val="none" w:sz="0" w:space="0" w:color="auto"/>
        <w:right w:val="none" w:sz="0" w:space="0" w:color="auto"/>
      </w:divBdr>
    </w:div>
    <w:div w:id="1713727141">
      <w:bodyDiv w:val="1"/>
      <w:marLeft w:val="0"/>
      <w:marRight w:val="0"/>
      <w:marTop w:val="0"/>
      <w:marBottom w:val="0"/>
      <w:divBdr>
        <w:top w:val="none" w:sz="0" w:space="0" w:color="auto"/>
        <w:left w:val="none" w:sz="0" w:space="0" w:color="auto"/>
        <w:bottom w:val="none" w:sz="0" w:space="0" w:color="auto"/>
        <w:right w:val="none" w:sz="0" w:space="0" w:color="auto"/>
      </w:divBdr>
    </w:div>
    <w:div w:id="1715347292">
      <w:bodyDiv w:val="1"/>
      <w:marLeft w:val="0"/>
      <w:marRight w:val="0"/>
      <w:marTop w:val="0"/>
      <w:marBottom w:val="0"/>
      <w:divBdr>
        <w:top w:val="none" w:sz="0" w:space="0" w:color="auto"/>
        <w:left w:val="none" w:sz="0" w:space="0" w:color="auto"/>
        <w:bottom w:val="none" w:sz="0" w:space="0" w:color="auto"/>
        <w:right w:val="none" w:sz="0" w:space="0" w:color="auto"/>
      </w:divBdr>
    </w:div>
    <w:div w:id="1716545739">
      <w:bodyDiv w:val="1"/>
      <w:marLeft w:val="0"/>
      <w:marRight w:val="0"/>
      <w:marTop w:val="0"/>
      <w:marBottom w:val="0"/>
      <w:divBdr>
        <w:top w:val="none" w:sz="0" w:space="0" w:color="auto"/>
        <w:left w:val="none" w:sz="0" w:space="0" w:color="auto"/>
        <w:bottom w:val="none" w:sz="0" w:space="0" w:color="auto"/>
        <w:right w:val="none" w:sz="0" w:space="0" w:color="auto"/>
      </w:divBdr>
    </w:div>
    <w:div w:id="1720200947">
      <w:bodyDiv w:val="1"/>
      <w:marLeft w:val="0"/>
      <w:marRight w:val="0"/>
      <w:marTop w:val="0"/>
      <w:marBottom w:val="0"/>
      <w:divBdr>
        <w:top w:val="none" w:sz="0" w:space="0" w:color="auto"/>
        <w:left w:val="none" w:sz="0" w:space="0" w:color="auto"/>
        <w:bottom w:val="none" w:sz="0" w:space="0" w:color="auto"/>
        <w:right w:val="none" w:sz="0" w:space="0" w:color="auto"/>
      </w:divBdr>
    </w:div>
    <w:div w:id="1720588291">
      <w:bodyDiv w:val="1"/>
      <w:marLeft w:val="0"/>
      <w:marRight w:val="0"/>
      <w:marTop w:val="0"/>
      <w:marBottom w:val="0"/>
      <w:divBdr>
        <w:top w:val="none" w:sz="0" w:space="0" w:color="auto"/>
        <w:left w:val="none" w:sz="0" w:space="0" w:color="auto"/>
        <w:bottom w:val="none" w:sz="0" w:space="0" w:color="auto"/>
        <w:right w:val="none" w:sz="0" w:space="0" w:color="auto"/>
      </w:divBdr>
    </w:div>
    <w:div w:id="1720976069">
      <w:bodyDiv w:val="1"/>
      <w:marLeft w:val="0"/>
      <w:marRight w:val="0"/>
      <w:marTop w:val="0"/>
      <w:marBottom w:val="0"/>
      <w:divBdr>
        <w:top w:val="none" w:sz="0" w:space="0" w:color="auto"/>
        <w:left w:val="none" w:sz="0" w:space="0" w:color="auto"/>
        <w:bottom w:val="none" w:sz="0" w:space="0" w:color="auto"/>
        <w:right w:val="none" w:sz="0" w:space="0" w:color="auto"/>
      </w:divBdr>
    </w:div>
    <w:div w:id="1721510261">
      <w:bodyDiv w:val="1"/>
      <w:marLeft w:val="0"/>
      <w:marRight w:val="0"/>
      <w:marTop w:val="0"/>
      <w:marBottom w:val="0"/>
      <w:divBdr>
        <w:top w:val="none" w:sz="0" w:space="0" w:color="auto"/>
        <w:left w:val="none" w:sz="0" w:space="0" w:color="auto"/>
        <w:bottom w:val="none" w:sz="0" w:space="0" w:color="auto"/>
        <w:right w:val="none" w:sz="0" w:space="0" w:color="auto"/>
      </w:divBdr>
    </w:div>
    <w:div w:id="1722091125">
      <w:bodyDiv w:val="1"/>
      <w:marLeft w:val="0"/>
      <w:marRight w:val="0"/>
      <w:marTop w:val="0"/>
      <w:marBottom w:val="0"/>
      <w:divBdr>
        <w:top w:val="none" w:sz="0" w:space="0" w:color="auto"/>
        <w:left w:val="none" w:sz="0" w:space="0" w:color="auto"/>
        <w:bottom w:val="none" w:sz="0" w:space="0" w:color="auto"/>
        <w:right w:val="none" w:sz="0" w:space="0" w:color="auto"/>
      </w:divBdr>
    </w:div>
    <w:div w:id="1724400478">
      <w:bodyDiv w:val="1"/>
      <w:marLeft w:val="0"/>
      <w:marRight w:val="0"/>
      <w:marTop w:val="0"/>
      <w:marBottom w:val="0"/>
      <w:divBdr>
        <w:top w:val="none" w:sz="0" w:space="0" w:color="auto"/>
        <w:left w:val="none" w:sz="0" w:space="0" w:color="auto"/>
        <w:bottom w:val="none" w:sz="0" w:space="0" w:color="auto"/>
        <w:right w:val="none" w:sz="0" w:space="0" w:color="auto"/>
      </w:divBdr>
    </w:div>
    <w:div w:id="1726219283">
      <w:bodyDiv w:val="1"/>
      <w:marLeft w:val="0"/>
      <w:marRight w:val="0"/>
      <w:marTop w:val="0"/>
      <w:marBottom w:val="0"/>
      <w:divBdr>
        <w:top w:val="none" w:sz="0" w:space="0" w:color="auto"/>
        <w:left w:val="none" w:sz="0" w:space="0" w:color="auto"/>
        <w:bottom w:val="none" w:sz="0" w:space="0" w:color="auto"/>
        <w:right w:val="none" w:sz="0" w:space="0" w:color="auto"/>
      </w:divBdr>
    </w:div>
    <w:div w:id="1728795209">
      <w:bodyDiv w:val="1"/>
      <w:marLeft w:val="0"/>
      <w:marRight w:val="0"/>
      <w:marTop w:val="0"/>
      <w:marBottom w:val="0"/>
      <w:divBdr>
        <w:top w:val="none" w:sz="0" w:space="0" w:color="auto"/>
        <w:left w:val="none" w:sz="0" w:space="0" w:color="auto"/>
        <w:bottom w:val="none" w:sz="0" w:space="0" w:color="auto"/>
        <w:right w:val="none" w:sz="0" w:space="0" w:color="auto"/>
      </w:divBdr>
    </w:div>
    <w:div w:id="1731269386">
      <w:bodyDiv w:val="1"/>
      <w:marLeft w:val="0"/>
      <w:marRight w:val="0"/>
      <w:marTop w:val="0"/>
      <w:marBottom w:val="0"/>
      <w:divBdr>
        <w:top w:val="none" w:sz="0" w:space="0" w:color="auto"/>
        <w:left w:val="none" w:sz="0" w:space="0" w:color="auto"/>
        <w:bottom w:val="none" w:sz="0" w:space="0" w:color="auto"/>
        <w:right w:val="none" w:sz="0" w:space="0" w:color="auto"/>
      </w:divBdr>
    </w:div>
    <w:div w:id="1731924854">
      <w:bodyDiv w:val="1"/>
      <w:marLeft w:val="0"/>
      <w:marRight w:val="0"/>
      <w:marTop w:val="0"/>
      <w:marBottom w:val="0"/>
      <w:divBdr>
        <w:top w:val="none" w:sz="0" w:space="0" w:color="auto"/>
        <w:left w:val="none" w:sz="0" w:space="0" w:color="auto"/>
        <w:bottom w:val="none" w:sz="0" w:space="0" w:color="auto"/>
        <w:right w:val="none" w:sz="0" w:space="0" w:color="auto"/>
      </w:divBdr>
    </w:div>
    <w:div w:id="1734082728">
      <w:bodyDiv w:val="1"/>
      <w:marLeft w:val="0"/>
      <w:marRight w:val="0"/>
      <w:marTop w:val="0"/>
      <w:marBottom w:val="0"/>
      <w:divBdr>
        <w:top w:val="none" w:sz="0" w:space="0" w:color="auto"/>
        <w:left w:val="none" w:sz="0" w:space="0" w:color="auto"/>
        <w:bottom w:val="none" w:sz="0" w:space="0" w:color="auto"/>
        <w:right w:val="none" w:sz="0" w:space="0" w:color="auto"/>
      </w:divBdr>
    </w:div>
    <w:div w:id="1740982479">
      <w:bodyDiv w:val="1"/>
      <w:marLeft w:val="0"/>
      <w:marRight w:val="0"/>
      <w:marTop w:val="0"/>
      <w:marBottom w:val="0"/>
      <w:divBdr>
        <w:top w:val="none" w:sz="0" w:space="0" w:color="auto"/>
        <w:left w:val="none" w:sz="0" w:space="0" w:color="auto"/>
        <w:bottom w:val="none" w:sz="0" w:space="0" w:color="auto"/>
        <w:right w:val="none" w:sz="0" w:space="0" w:color="auto"/>
      </w:divBdr>
    </w:div>
    <w:div w:id="1743527763">
      <w:bodyDiv w:val="1"/>
      <w:marLeft w:val="0"/>
      <w:marRight w:val="0"/>
      <w:marTop w:val="0"/>
      <w:marBottom w:val="0"/>
      <w:divBdr>
        <w:top w:val="none" w:sz="0" w:space="0" w:color="auto"/>
        <w:left w:val="none" w:sz="0" w:space="0" w:color="auto"/>
        <w:bottom w:val="none" w:sz="0" w:space="0" w:color="auto"/>
        <w:right w:val="none" w:sz="0" w:space="0" w:color="auto"/>
      </w:divBdr>
    </w:div>
    <w:div w:id="1744448882">
      <w:bodyDiv w:val="1"/>
      <w:marLeft w:val="0"/>
      <w:marRight w:val="0"/>
      <w:marTop w:val="0"/>
      <w:marBottom w:val="0"/>
      <w:divBdr>
        <w:top w:val="none" w:sz="0" w:space="0" w:color="auto"/>
        <w:left w:val="none" w:sz="0" w:space="0" w:color="auto"/>
        <w:bottom w:val="none" w:sz="0" w:space="0" w:color="auto"/>
        <w:right w:val="none" w:sz="0" w:space="0" w:color="auto"/>
      </w:divBdr>
    </w:div>
    <w:div w:id="1744522799">
      <w:bodyDiv w:val="1"/>
      <w:marLeft w:val="0"/>
      <w:marRight w:val="0"/>
      <w:marTop w:val="0"/>
      <w:marBottom w:val="0"/>
      <w:divBdr>
        <w:top w:val="none" w:sz="0" w:space="0" w:color="auto"/>
        <w:left w:val="none" w:sz="0" w:space="0" w:color="auto"/>
        <w:bottom w:val="none" w:sz="0" w:space="0" w:color="auto"/>
        <w:right w:val="none" w:sz="0" w:space="0" w:color="auto"/>
      </w:divBdr>
    </w:div>
    <w:div w:id="1745685216">
      <w:bodyDiv w:val="1"/>
      <w:marLeft w:val="0"/>
      <w:marRight w:val="0"/>
      <w:marTop w:val="0"/>
      <w:marBottom w:val="0"/>
      <w:divBdr>
        <w:top w:val="none" w:sz="0" w:space="0" w:color="auto"/>
        <w:left w:val="none" w:sz="0" w:space="0" w:color="auto"/>
        <w:bottom w:val="none" w:sz="0" w:space="0" w:color="auto"/>
        <w:right w:val="none" w:sz="0" w:space="0" w:color="auto"/>
      </w:divBdr>
    </w:div>
    <w:div w:id="1745948688">
      <w:bodyDiv w:val="1"/>
      <w:marLeft w:val="0"/>
      <w:marRight w:val="0"/>
      <w:marTop w:val="0"/>
      <w:marBottom w:val="0"/>
      <w:divBdr>
        <w:top w:val="none" w:sz="0" w:space="0" w:color="auto"/>
        <w:left w:val="none" w:sz="0" w:space="0" w:color="auto"/>
        <w:bottom w:val="none" w:sz="0" w:space="0" w:color="auto"/>
        <w:right w:val="none" w:sz="0" w:space="0" w:color="auto"/>
      </w:divBdr>
    </w:div>
    <w:div w:id="1748183747">
      <w:bodyDiv w:val="1"/>
      <w:marLeft w:val="0"/>
      <w:marRight w:val="0"/>
      <w:marTop w:val="0"/>
      <w:marBottom w:val="0"/>
      <w:divBdr>
        <w:top w:val="none" w:sz="0" w:space="0" w:color="auto"/>
        <w:left w:val="none" w:sz="0" w:space="0" w:color="auto"/>
        <w:bottom w:val="none" w:sz="0" w:space="0" w:color="auto"/>
        <w:right w:val="none" w:sz="0" w:space="0" w:color="auto"/>
      </w:divBdr>
    </w:div>
    <w:div w:id="1748304659">
      <w:bodyDiv w:val="1"/>
      <w:marLeft w:val="0"/>
      <w:marRight w:val="0"/>
      <w:marTop w:val="0"/>
      <w:marBottom w:val="0"/>
      <w:divBdr>
        <w:top w:val="none" w:sz="0" w:space="0" w:color="auto"/>
        <w:left w:val="none" w:sz="0" w:space="0" w:color="auto"/>
        <w:bottom w:val="none" w:sz="0" w:space="0" w:color="auto"/>
        <w:right w:val="none" w:sz="0" w:space="0" w:color="auto"/>
      </w:divBdr>
    </w:div>
    <w:div w:id="1748771849">
      <w:bodyDiv w:val="1"/>
      <w:marLeft w:val="0"/>
      <w:marRight w:val="0"/>
      <w:marTop w:val="0"/>
      <w:marBottom w:val="0"/>
      <w:divBdr>
        <w:top w:val="none" w:sz="0" w:space="0" w:color="auto"/>
        <w:left w:val="none" w:sz="0" w:space="0" w:color="auto"/>
        <w:bottom w:val="none" w:sz="0" w:space="0" w:color="auto"/>
        <w:right w:val="none" w:sz="0" w:space="0" w:color="auto"/>
      </w:divBdr>
    </w:div>
    <w:div w:id="1749615393">
      <w:bodyDiv w:val="1"/>
      <w:marLeft w:val="0"/>
      <w:marRight w:val="0"/>
      <w:marTop w:val="0"/>
      <w:marBottom w:val="0"/>
      <w:divBdr>
        <w:top w:val="none" w:sz="0" w:space="0" w:color="auto"/>
        <w:left w:val="none" w:sz="0" w:space="0" w:color="auto"/>
        <w:bottom w:val="none" w:sz="0" w:space="0" w:color="auto"/>
        <w:right w:val="none" w:sz="0" w:space="0" w:color="auto"/>
      </w:divBdr>
    </w:div>
    <w:div w:id="1749813181">
      <w:bodyDiv w:val="1"/>
      <w:marLeft w:val="0"/>
      <w:marRight w:val="0"/>
      <w:marTop w:val="0"/>
      <w:marBottom w:val="0"/>
      <w:divBdr>
        <w:top w:val="none" w:sz="0" w:space="0" w:color="auto"/>
        <w:left w:val="none" w:sz="0" w:space="0" w:color="auto"/>
        <w:bottom w:val="none" w:sz="0" w:space="0" w:color="auto"/>
        <w:right w:val="none" w:sz="0" w:space="0" w:color="auto"/>
      </w:divBdr>
    </w:div>
    <w:div w:id="1750887257">
      <w:bodyDiv w:val="1"/>
      <w:marLeft w:val="0"/>
      <w:marRight w:val="0"/>
      <w:marTop w:val="0"/>
      <w:marBottom w:val="0"/>
      <w:divBdr>
        <w:top w:val="none" w:sz="0" w:space="0" w:color="auto"/>
        <w:left w:val="none" w:sz="0" w:space="0" w:color="auto"/>
        <w:bottom w:val="none" w:sz="0" w:space="0" w:color="auto"/>
        <w:right w:val="none" w:sz="0" w:space="0" w:color="auto"/>
      </w:divBdr>
    </w:div>
    <w:div w:id="1751543538">
      <w:bodyDiv w:val="1"/>
      <w:marLeft w:val="0"/>
      <w:marRight w:val="0"/>
      <w:marTop w:val="0"/>
      <w:marBottom w:val="0"/>
      <w:divBdr>
        <w:top w:val="none" w:sz="0" w:space="0" w:color="auto"/>
        <w:left w:val="none" w:sz="0" w:space="0" w:color="auto"/>
        <w:bottom w:val="none" w:sz="0" w:space="0" w:color="auto"/>
        <w:right w:val="none" w:sz="0" w:space="0" w:color="auto"/>
      </w:divBdr>
    </w:div>
    <w:div w:id="1752310938">
      <w:bodyDiv w:val="1"/>
      <w:marLeft w:val="0"/>
      <w:marRight w:val="0"/>
      <w:marTop w:val="0"/>
      <w:marBottom w:val="0"/>
      <w:divBdr>
        <w:top w:val="none" w:sz="0" w:space="0" w:color="auto"/>
        <w:left w:val="none" w:sz="0" w:space="0" w:color="auto"/>
        <w:bottom w:val="none" w:sz="0" w:space="0" w:color="auto"/>
        <w:right w:val="none" w:sz="0" w:space="0" w:color="auto"/>
      </w:divBdr>
    </w:div>
    <w:div w:id="1755054124">
      <w:bodyDiv w:val="1"/>
      <w:marLeft w:val="0"/>
      <w:marRight w:val="0"/>
      <w:marTop w:val="0"/>
      <w:marBottom w:val="0"/>
      <w:divBdr>
        <w:top w:val="none" w:sz="0" w:space="0" w:color="auto"/>
        <w:left w:val="none" w:sz="0" w:space="0" w:color="auto"/>
        <w:bottom w:val="none" w:sz="0" w:space="0" w:color="auto"/>
        <w:right w:val="none" w:sz="0" w:space="0" w:color="auto"/>
      </w:divBdr>
    </w:div>
    <w:div w:id="1758088316">
      <w:bodyDiv w:val="1"/>
      <w:marLeft w:val="0"/>
      <w:marRight w:val="0"/>
      <w:marTop w:val="0"/>
      <w:marBottom w:val="0"/>
      <w:divBdr>
        <w:top w:val="none" w:sz="0" w:space="0" w:color="auto"/>
        <w:left w:val="none" w:sz="0" w:space="0" w:color="auto"/>
        <w:bottom w:val="none" w:sz="0" w:space="0" w:color="auto"/>
        <w:right w:val="none" w:sz="0" w:space="0" w:color="auto"/>
      </w:divBdr>
    </w:div>
    <w:div w:id="1758214386">
      <w:bodyDiv w:val="1"/>
      <w:marLeft w:val="0"/>
      <w:marRight w:val="0"/>
      <w:marTop w:val="0"/>
      <w:marBottom w:val="0"/>
      <w:divBdr>
        <w:top w:val="none" w:sz="0" w:space="0" w:color="auto"/>
        <w:left w:val="none" w:sz="0" w:space="0" w:color="auto"/>
        <w:bottom w:val="none" w:sz="0" w:space="0" w:color="auto"/>
        <w:right w:val="none" w:sz="0" w:space="0" w:color="auto"/>
      </w:divBdr>
    </w:div>
    <w:div w:id="1769085420">
      <w:bodyDiv w:val="1"/>
      <w:marLeft w:val="0"/>
      <w:marRight w:val="0"/>
      <w:marTop w:val="0"/>
      <w:marBottom w:val="0"/>
      <w:divBdr>
        <w:top w:val="none" w:sz="0" w:space="0" w:color="auto"/>
        <w:left w:val="none" w:sz="0" w:space="0" w:color="auto"/>
        <w:bottom w:val="none" w:sz="0" w:space="0" w:color="auto"/>
        <w:right w:val="none" w:sz="0" w:space="0" w:color="auto"/>
      </w:divBdr>
    </w:div>
    <w:div w:id="1773040551">
      <w:bodyDiv w:val="1"/>
      <w:marLeft w:val="0"/>
      <w:marRight w:val="0"/>
      <w:marTop w:val="0"/>
      <w:marBottom w:val="0"/>
      <w:divBdr>
        <w:top w:val="none" w:sz="0" w:space="0" w:color="auto"/>
        <w:left w:val="none" w:sz="0" w:space="0" w:color="auto"/>
        <w:bottom w:val="none" w:sz="0" w:space="0" w:color="auto"/>
        <w:right w:val="none" w:sz="0" w:space="0" w:color="auto"/>
      </w:divBdr>
    </w:div>
    <w:div w:id="1775709118">
      <w:bodyDiv w:val="1"/>
      <w:marLeft w:val="0"/>
      <w:marRight w:val="0"/>
      <w:marTop w:val="0"/>
      <w:marBottom w:val="0"/>
      <w:divBdr>
        <w:top w:val="none" w:sz="0" w:space="0" w:color="auto"/>
        <w:left w:val="none" w:sz="0" w:space="0" w:color="auto"/>
        <w:bottom w:val="none" w:sz="0" w:space="0" w:color="auto"/>
        <w:right w:val="none" w:sz="0" w:space="0" w:color="auto"/>
      </w:divBdr>
    </w:div>
    <w:div w:id="1776703938">
      <w:bodyDiv w:val="1"/>
      <w:marLeft w:val="0"/>
      <w:marRight w:val="0"/>
      <w:marTop w:val="0"/>
      <w:marBottom w:val="0"/>
      <w:divBdr>
        <w:top w:val="none" w:sz="0" w:space="0" w:color="auto"/>
        <w:left w:val="none" w:sz="0" w:space="0" w:color="auto"/>
        <w:bottom w:val="none" w:sz="0" w:space="0" w:color="auto"/>
        <w:right w:val="none" w:sz="0" w:space="0" w:color="auto"/>
      </w:divBdr>
    </w:div>
    <w:div w:id="1780445129">
      <w:bodyDiv w:val="1"/>
      <w:marLeft w:val="0"/>
      <w:marRight w:val="0"/>
      <w:marTop w:val="0"/>
      <w:marBottom w:val="0"/>
      <w:divBdr>
        <w:top w:val="none" w:sz="0" w:space="0" w:color="auto"/>
        <w:left w:val="none" w:sz="0" w:space="0" w:color="auto"/>
        <w:bottom w:val="none" w:sz="0" w:space="0" w:color="auto"/>
        <w:right w:val="none" w:sz="0" w:space="0" w:color="auto"/>
      </w:divBdr>
    </w:div>
    <w:div w:id="1782260156">
      <w:bodyDiv w:val="1"/>
      <w:marLeft w:val="0"/>
      <w:marRight w:val="0"/>
      <w:marTop w:val="0"/>
      <w:marBottom w:val="0"/>
      <w:divBdr>
        <w:top w:val="none" w:sz="0" w:space="0" w:color="auto"/>
        <w:left w:val="none" w:sz="0" w:space="0" w:color="auto"/>
        <w:bottom w:val="none" w:sz="0" w:space="0" w:color="auto"/>
        <w:right w:val="none" w:sz="0" w:space="0" w:color="auto"/>
      </w:divBdr>
    </w:div>
    <w:div w:id="1782676289">
      <w:bodyDiv w:val="1"/>
      <w:marLeft w:val="0"/>
      <w:marRight w:val="0"/>
      <w:marTop w:val="0"/>
      <w:marBottom w:val="0"/>
      <w:divBdr>
        <w:top w:val="none" w:sz="0" w:space="0" w:color="auto"/>
        <w:left w:val="none" w:sz="0" w:space="0" w:color="auto"/>
        <w:bottom w:val="none" w:sz="0" w:space="0" w:color="auto"/>
        <w:right w:val="none" w:sz="0" w:space="0" w:color="auto"/>
      </w:divBdr>
    </w:div>
    <w:div w:id="1784810439">
      <w:bodyDiv w:val="1"/>
      <w:marLeft w:val="0"/>
      <w:marRight w:val="0"/>
      <w:marTop w:val="0"/>
      <w:marBottom w:val="0"/>
      <w:divBdr>
        <w:top w:val="none" w:sz="0" w:space="0" w:color="auto"/>
        <w:left w:val="none" w:sz="0" w:space="0" w:color="auto"/>
        <w:bottom w:val="none" w:sz="0" w:space="0" w:color="auto"/>
        <w:right w:val="none" w:sz="0" w:space="0" w:color="auto"/>
      </w:divBdr>
    </w:div>
    <w:div w:id="1784878290">
      <w:bodyDiv w:val="1"/>
      <w:marLeft w:val="0"/>
      <w:marRight w:val="0"/>
      <w:marTop w:val="0"/>
      <w:marBottom w:val="0"/>
      <w:divBdr>
        <w:top w:val="none" w:sz="0" w:space="0" w:color="auto"/>
        <w:left w:val="none" w:sz="0" w:space="0" w:color="auto"/>
        <w:bottom w:val="none" w:sz="0" w:space="0" w:color="auto"/>
        <w:right w:val="none" w:sz="0" w:space="0" w:color="auto"/>
      </w:divBdr>
    </w:div>
    <w:div w:id="1785419326">
      <w:bodyDiv w:val="1"/>
      <w:marLeft w:val="0"/>
      <w:marRight w:val="0"/>
      <w:marTop w:val="0"/>
      <w:marBottom w:val="0"/>
      <w:divBdr>
        <w:top w:val="none" w:sz="0" w:space="0" w:color="auto"/>
        <w:left w:val="none" w:sz="0" w:space="0" w:color="auto"/>
        <w:bottom w:val="none" w:sz="0" w:space="0" w:color="auto"/>
        <w:right w:val="none" w:sz="0" w:space="0" w:color="auto"/>
      </w:divBdr>
    </w:div>
    <w:div w:id="1785732174">
      <w:bodyDiv w:val="1"/>
      <w:marLeft w:val="0"/>
      <w:marRight w:val="0"/>
      <w:marTop w:val="0"/>
      <w:marBottom w:val="0"/>
      <w:divBdr>
        <w:top w:val="none" w:sz="0" w:space="0" w:color="auto"/>
        <w:left w:val="none" w:sz="0" w:space="0" w:color="auto"/>
        <w:bottom w:val="none" w:sz="0" w:space="0" w:color="auto"/>
        <w:right w:val="none" w:sz="0" w:space="0" w:color="auto"/>
      </w:divBdr>
    </w:div>
    <w:div w:id="1787458505">
      <w:bodyDiv w:val="1"/>
      <w:marLeft w:val="0"/>
      <w:marRight w:val="0"/>
      <w:marTop w:val="0"/>
      <w:marBottom w:val="0"/>
      <w:divBdr>
        <w:top w:val="none" w:sz="0" w:space="0" w:color="auto"/>
        <w:left w:val="none" w:sz="0" w:space="0" w:color="auto"/>
        <w:bottom w:val="none" w:sz="0" w:space="0" w:color="auto"/>
        <w:right w:val="none" w:sz="0" w:space="0" w:color="auto"/>
      </w:divBdr>
    </w:div>
    <w:div w:id="1788040939">
      <w:bodyDiv w:val="1"/>
      <w:marLeft w:val="0"/>
      <w:marRight w:val="0"/>
      <w:marTop w:val="0"/>
      <w:marBottom w:val="0"/>
      <w:divBdr>
        <w:top w:val="none" w:sz="0" w:space="0" w:color="auto"/>
        <w:left w:val="none" w:sz="0" w:space="0" w:color="auto"/>
        <w:bottom w:val="none" w:sz="0" w:space="0" w:color="auto"/>
        <w:right w:val="none" w:sz="0" w:space="0" w:color="auto"/>
      </w:divBdr>
    </w:div>
    <w:div w:id="1791626280">
      <w:bodyDiv w:val="1"/>
      <w:marLeft w:val="0"/>
      <w:marRight w:val="0"/>
      <w:marTop w:val="0"/>
      <w:marBottom w:val="0"/>
      <w:divBdr>
        <w:top w:val="none" w:sz="0" w:space="0" w:color="auto"/>
        <w:left w:val="none" w:sz="0" w:space="0" w:color="auto"/>
        <w:bottom w:val="none" w:sz="0" w:space="0" w:color="auto"/>
        <w:right w:val="none" w:sz="0" w:space="0" w:color="auto"/>
      </w:divBdr>
    </w:div>
    <w:div w:id="1793790955">
      <w:bodyDiv w:val="1"/>
      <w:marLeft w:val="0"/>
      <w:marRight w:val="0"/>
      <w:marTop w:val="0"/>
      <w:marBottom w:val="0"/>
      <w:divBdr>
        <w:top w:val="none" w:sz="0" w:space="0" w:color="auto"/>
        <w:left w:val="none" w:sz="0" w:space="0" w:color="auto"/>
        <w:bottom w:val="none" w:sz="0" w:space="0" w:color="auto"/>
        <w:right w:val="none" w:sz="0" w:space="0" w:color="auto"/>
      </w:divBdr>
    </w:div>
    <w:div w:id="1794060443">
      <w:bodyDiv w:val="1"/>
      <w:marLeft w:val="0"/>
      <w:marRight w:val="0"/>
      <w:marTop w:val="0"/>
      <w:marBottom w:val="0"/>
      <w:divBdr>
        <w:top w:val="none" w:sz="0" w:space="0" w:color="auto"/>
        <w:left w:val="none" w:sz="0" w:space="0" w:color="auto"/>
        <w:bottom w:val="none" w:sz="0" w:space="0" w:color="auto"/>
        <w:right w:val="none" w:sz="0" w:space="0" w:color="auto"/>
      </w:divBdr>
    </w:div>
    <w:div w:id="1797210989">
      <w:bodyDiv w:val="1"/>
      <w:marLeft w:val="0"/>
      <w:marRight w:val="0"/>
      <w:marTop w:val="0"/>
      <w:marBottom w:val="0"/>
      <w:divBdr>
        <w:top w:val="none" w:sz="0" w:space="0" w:color="auto"/>
        <w:left w:val="none" w:sz="0" w:space="0" w:color="auto"/>
        <w:bottom w:val="none" w:sz="0" w:space="0" w:color="auto"/>
        <w:right w:val="none" w:sz="0" w:space="0" w:color="auto"/>
      </w:divBdr>
    </w:div>
    <w:div w:id="1797602704">
      <w:bodyDiv w:val="1"/>
      <w:marLeft w:val="0"/>
      <w:marRight w:val="0"/>
      <w:marTop w:val="0"/>
      <w:marBottom w:val="0"/>
      <w:divBdr>
        <w:top w:val="none" w:sz="0" w:space="0" w:color="auto"/>
        <w:left w:val="none" w:sz="0" w:space="0" w:color="auto"/>
        <w:bottom w:val="none" w:sz="0" w:space="0" w:color="auto"/>
        <w:right w:val="none" w:sz="0" w:space="0" w:color="auto"/>
      </w:divBdr>
    </w:div>
    <w:div w:id="1799760311">
      <w:bodyDiv w:val="1"/>
      <w:marLeft w:val="0"/>
      <w:marRight w:val="0"/>
      <w:marTop w:val="0"/>
      <w:marBottom w:val="0"/>
      <w:divBdr>
        <w:top w:val="none" w:sz="0" w:space="0" w:color="auto"/>
        <w:left w:val="none" w:sz="0" w:space="0" w:color="auto"/>
        <w:bottom w:val="none" w:sz="0" w:space="0" w:color="auto"/>
        <w:right w:val="none" w:sz="0" w:space="0" w:color="auto"/>
      </w:divBdr>
    </w:div>
    <w:div w:id="1799949004">
      <w:bodyDiv w:val="1"/>
      <w:marLeft w:val="0"/>
      <w:marRight w:val="0"/>
      <w:marTop w:val="0"/>
      <w:marBottom w:val="0"/>
      <w:divBdr>
        <w:top w:val="none" w:sz="0" w:space="0" w:color="auto"/>
        <w:left w:val="none" w:sz="0" w:space="0" w:color="auto"/>
        <w:bottom w:val="none" w:sz="0" w:space="0" w:color="auto"/>
        <w:right w:val="none" w:sz="0" w:space="0" w:color="auto"/>
      </w:divBdr>
    </w:div>
    <w:div w:id="1802650419">
      <w:bodyDiv w:val="1"/>
      <w:marLeft w:val="0"/>
      <w:marRight w:val="0"/>
      <w:marTop w:val="0"/>
      <w:marBottom w:val="0"/>
      <w:divBdr>
        <w:top w:val="none" w:sz="0" w:space="0" w:color="auto"/>
        <w:left w:val="none" w:sz="0" w:space="0" w:color="auto"/>
        <w:bottom w:val="none" w:sz="0" w:space="0" w:color="auto"/>
        <w:right w:val="none" w:sz="0" w:space="0" w:color="auto"/>
      </w:divBdr>
    </w:div>
    <w:div w:id="1803888935">
      <w:bodyDiv w:val="1"/>
      <w:marLeft w:val="0"/>
      <w:marRight w:val="0"/>
      <w:marTop w:val="0"/>
      <w:marBottom w:val="0"/>
      <w:divBdr>
        <w:top w:val="none" w:sz="0" w:space="0" w:color="auto"/>
        <w:left w:val="none" w:sz="0" w:space="0" w:color="auto"/>
        <w:bottom w:val="none" w:sz="0" w:space="0" w:color="auto"/>
        <w:right w:val="none" w:sz="0" w:space="0" w:color="auto"/>
      </w:divBdr>
    </w:div>
    <w:div w:id="1805388041">
      <w:bodyDiv w:val="1"/>
      <w:marLeft w:val="0"/>
      <w:marRight w:val="0"/>
      <w:marTop w:val="0"/>
      <w:marBottom w:val="0"/>
      <w:divBdr>
        <w:top w:val="none" w:sz="0" w:space="0" w:color="auto"/>
        <w:left w:val="none" w:sz="0" w:space="0" w:color="auto"/>
        <w:bottom w:val="none" w:sz="0" w:space="0" w:color="auto"/>
        <w:right w:val="none" w:sz="0" w:space="0" w:color="auto"/>
      </w:divBdr>
    </w:div>
    <w:div w:id="1805465183">
      <w:bodyDiv w:val="1"/>
      <w:marLeft w:val="0"/>
      <w:marRight w:val="0"/>
      <w:marTop w:val="0"/>
      <w:marBottom w:val="0"/>
      <w:divBdr>
        <w:top w:val="none" w:sz="0" w:space="0" w:color="auto"/>
        <w:left w:val="none" w:sz="0" w:space="0" w:color="auto"/>
        <w:bottom w:val="none" w:sz="0" w:space="0" w:color="auto"/>
        <w:right w:val="none" w:sz="0" w:space="0" w:color="auto"/>
      </w:divBdr>
    </w:div>
    <w:div w:id="1806465324">
      <w:bodyDiv w:val="1"/>
      <w:marLeft w:val="0"/>
      <w:marRight w:val="0"/>
      <w:marTop w:val="0"/>
      <w:marBottom w:val="0"/>
      <w:divBdr>
        <w:top w:val="none" w:sz="0" w:space="0" w:color="auto"/>
        <w:left w:val="none" w:sz="0" w:space="0" w:color="auto"/>
        <w:bottom w:val="none" w:sz="0" w:space="0" w:color="auto"/>
        <w:right w:val="none" w:sz="0" w:space="0" w:color="auto"/>
      </w:divBdr>
    </w:div>
    <w:div w:id="1806661008">
      <w:bodyDiv w:val="1"/>
      <w:marLeft w:val="0"/>
      <w:marRight w:val="0"/>
      <w:marTop w:val="0"/>
      <w:marBottom w:val="0"/>
      <w:divBdr>
        <w:top w:val="none" w:sz="0" w:space="0" w:color="auto"/>
        <w:left w:val="none" w:sz="0" w:space="0" w:color="auto"/>
        <w:bottom w:val="none" w:sz="0" w:space="0" w:color="auto"/>
        <w:right w:val="none" w:sz="0" w:space="0" w:color="auto"/>
      </w:divBdr>
    </w:div>
    <w:div w:id="1807090534">
      <w:bodyDiv w:val="1"/>
      <w:marLeft w:val="0"/>
      <w:marRight w:val="0"/>
      <w:marTop w:val="0"/>
      <w:marBottom w:val="0"/>
      <w:divBdr>
        <w:top w:val="none" w:sz="0" w:space="0" w:color="auto"/>
        <w:left w:val="none" w:sz="0" w:space="0" w:color="auto"/>
        <w:bottom w:val="none" w:sz="0" w:space="0" w:color="auto"/>
        <w:right w:val="none" w:sz="0" w:space="0" w:color="auto"/>
      </w:divBdr>
    </w:div>
    <w:div w:id="1811744774">
      <w:bodyDiv w:val="1"/>
      <w:marLeft w:val="0"/>
      <w:marRight w:val="0"/>
      <w:marTop w:val="0"/>
      <w:marBottom w:val="0"/>
      <w:divBdr>
        <w:top w:val="none" w:sz="0" w:space="0" w:color="auto"/>
        <w:left w:val="none" w:sz="0" w:space="0" w:color="auto"/>
        <w:bottom w:val="none" w:sz="0" w:space="0" w:color="auto"/>
        <w:right w:val="none" w:sz="0" w:space="0" w:color="auto"/>
      </w:divBdr>
    </w:div>
    <w:div w:id="1812988297">
      <w:bodyDiv w:val="1"/>
      <w:marLeft w:val="0"/>
      <w:marRight w:val="0"/>
      <w:marTop w:val="0"/>
      <w:marBottom w:val="0"/>
      <w:divBdr>
        <w:top w:val="none" w:sz="0" w:space="0" w:color="auto"/>
        <w:left w:val="none" w:sz="0" w:space="0" w:color="auto"/>
        <w:bottom w:val="none" w:sz="0" w:space="0" w:color="auto"/>
        <w:right w:val="none" w:sz="0" w:space="0" w:color="auto"/>
      </w:divBdr>
    </w:div>
    <w:div w:id="1816604439">
      <w:bodyDiv w:val="1"/>
      <w:marLeft w:val="0"/>
      <w:marRight w:val="0"/>
      <w:marTop w:val="0"/>
      <w:marBottom w:val="0"/>
      <w:divBdr>
        <w:top w:val="none" w:sz="0" w:space="0" w:color="auto"/>
        <w:left w:val="none" w:sz="0" w:space="0" w:color="auto"/>
        <w:bottom w:val="none" w:sz="0" w:space="0" w:color="auto"/>
        <w:right w:val="none" w:sz="0" w:space="0" w:color="auto"/>
      </w:divBdr>
    </w:div>
    <w:div w:id="1820073673">
      <w:bodyDiv w:val="1"/>
      <w:marLeft w:val="0"/>
      <w:marRight w:val="0"/>
      <w:marTop w:val="0"/>
      <w:marBottom w:val="0"/>
      <w:divBdr>
        <w:top w:val="none" w:sz="0" w:space="0" w:color="auto"/>
        <w:left w:val="none" w:sz="0" w:space="0" w:color="auto"/>
        <w:bottom w:val="none" w:sz="0" w:space="0" w:color="auto"/>
        <w:right w:val="none" w:sz="0" w:space="0" w:color="auto"/>
      </w:divBdr>
    </w:div>
    <w:div w:id="1820727128">
      <w:bodyDiv w:val="1"/>
      <w:marLeft w:val="0"/>
      <w:marRight w:val="0"/>
      <w:marTop w:val="0"/>
      <w:marBottom w:val="0"/>
      <w:divBdr>
        <w:top w:val="none" w:sz="0" w:space="0" w:color="auto"/>
        <w:left w:val="none" w:sz="0" w:space="0" w:color="auto"/>
        <w:bottom w:val="none" w:sz="0" w:space="0" w:color="auto"/>
        <w:right w:val="none" w:sz="0" w:space="0" w:color="auto"/>
      </w:divBdr>
    </w:div>
    <w:div w:id="1821195679">
      <w:bodyDiv w:val="1"/>
      <w:marLeft w:val="0"/>
      <w:marRight w:val="0"/>
      <w:marTop w:val="0"/>
      <w:marBottom w:val="0"/>
      <w:divBdr>
        <w:top w:val="none" w:sz="0" w:space="0" w:color="auto"/>
        <w:left w:val="none" w:sz="0" w:space="0" w:color="auto"/>
        <w:bottom w:val="none" w:sz="0" w:space="0" w:color="auto"/>
        <w:right w:val="none" w:sz="0" w:space="0" w:color="auto"/>
      </w:divBdr>
    </w:div>
    <w:div w:id="1821337666">
      <w:bodyDiv w:val="1"/>
      <w:marLeft w:val="0"/>
      <w:marRight w:val="0"/>
      <w:marTop w:val="0"/>
      <w:marBottom w:val="0"/>
      <w:divBdr>
        <w:top w:val="none" w:sz="0" w:space="0" w:color="auto"/>
        <w:left w:val="none" w:sz="0" w:space="0" w:color="auto"/>
        <w:bottom w:val="none" w:sz="0" w:space="0" w:color="auto"/>
        <w:right w:val="none" w:sz="0" w:space="0" w:color="auto"/>
      </w:divBdr>
    </w:div>
    <w:div w:id="1821605768">
      <w:bodyDiv w:val="1"/>
      <w:marLeft w:val="0"/>
      <w:marRight w:val="0"/>
      <w:marTop w:val="0"/>
      <w:marBottom w:val="0"/>
      <w:divBdr>
        <w:top w:val="none" w:sz="0" w:space="0" w:color="auto"/>
        <w:left w:val="none" w:sz="0" w:space="0" w:color="auto"/>
        <w:bottom w:val="none" w:sz="0" w:space="0" w:color="auto"/>
        <w:right w:val="none" w:sz="0" w:space="0" w:color="auto"/>
      </w:divBdr>
    </w:div>
    <w:div w:id="1825387159">
      <w:bodyDiv w:val="1"/>
      <w:marLeft w:val="0"/>
      <w:marRight w:val="0"/>
      <w:marTop w:val="0"/>
      <w:marBottom w:val="0"/>
      <w:divBdr>
        <w:top w:val="none" w:sz="0" w:space="0" w:color="auto"/>
        <w:left w:val="none" w:sz="0" w:space="0" w:color="auto"/>
        <w:bottom w:val="none" w:sz="0" w:space="0" w:color="auto"/>
        <w:right w:val="none" w:sz="0" w:space="0" w:color="auto"/>
      </w:divBdr>
    </w:div>
    <w:div w:id="1826243418">
      <w:bodyDiv w:val="1"/>
      <w:marLeft w:val="0"/>
      <w:marRight w:val="0"/>
      <w:marTop w:val="0"/>
      <w:marBottom w:val="0"/>
      <w:divBdr>
        <w:top w:val="none" w:sz="0" w:space="0" w:color="auto"/>
        <w:left w:val="none" w:sz="0" w:space="0" w:color="auto"/>
        <w:bottom w:val="none" w:sz="0" w:space="0" w:color="auto"/>
        <w:right w:val="none" w:sz="0" w:space="0" w:color="auto"/>
      </w:divBdr>
    </w:div>
    <w:div w:id="1826778283">
      <w:bodyDiv w:val="1"/>
      <w:marLeft w:val="0"/>
      <w:marRight w:val="0"/>
      <w:marTop w:val="0"/>
      <w:marBottom w:val="0"/>
      <w:divBdr>
        <w:top w:val="none" w:sz="0" w:space="0" w:color="auto"/>
        <w:left w:val="none" w:sz="0" w:space="0" w:color="auto"/>
        <w:bottom w:val="none" w:sz="0" w:space="0" w:color="auto"/>
        <w:right w:val="none" w:sz="0" w:space="0" w:color="auto"/>
      </w:divBdr>
    </w:div>
    <w:div w:id="1826890438">
      <w:bodyDiv w:val="1"/>
      <w:marLeft w:val="0"/>
      <w:marRight w:val="0"/>
      <w:marTop w:val="0"/>
      <w:marBottom w:val="0"/>
      <w:divBdr>
        <w:top w:val="none" w:sz="0" w:space="0" w:color="auto"/>
        <w:left w:val="none" w:sz="0" w:space="0" w:color="auto"/>
        <w:bottom w:val="none" w:sz="0" w:space="0" w:color="auto"/>
        <w:right w:val="none" w:sz="0" w:space="0" w:color="auto"/>
      </w:divBdr>
    </w:div>
    <w:div w:id="1827547402">
      <w:bodyDiv w:val="1"/>
      <w:marLeft w:val="0"/>
      <w:marRight w:val="0"/>
      <w:marTop w:val="0"/>
      <w:marBottom w:val="0"/>
      <w:divBdr>
        <w:top w:val="none" w:sz="0" w:space="0" w:color="auto"/>
        <w:left w:val="none" w:sz="0" w:space="0" w:color="auto"/>
        <w:bottom w:val="none" w:sz="0" w:space="0" w:color="auto"/>
        <w:right w:val="none" w:sz="0" w:space="0" w:color="auto"/>
      </w:divBdr>
    </w:div>
    <w:div w:id="1827551188">
      <w:bodyDiv w:val="1"/>
      <w:marLeft w:val="0"/>
      <w:marRight w:val="0"/>
      <w:marTop w:val="0"/>
      <w:marBottom w:val="0"/>
      <w:divBdr>
        <w:top w:val="none" w:sz="0" w:space="0" w:color="auto"/>
        <w:left w:val="none" w:sz="0" w:space="0" w:color="auto"/>
        <w:bottom w:val="none" w:sz="0" w:space="0" w:color="auto"/>
        <w:right w:val="none" w:sz="0" w:space="0" w:color="auto"/>
      </w:divBdr>
    </w:div>
    <w:div w:id="1829786921">
      <w:bodyDiv w:val="1"/>
      <w:marLeft w:val="0"/>
      <w:marRight w:val="0"/>
      <w:marTop w:val="0"/>
      <w:marBottom w:val="0"/>
      <w:divBdr>
        <w:top w:val="none" w:sz="0" w:space="0" w:color="auto"/>
        <w:left w:val="none" w:sz="0" w:space="0" w:color="auto"/>
        <w:bottom w:val="none" w:sz="0" w:space="0" w:color="auto"/>
        <w:right w:val="none" w:sz="0" w:space="0" w:color="auto"/>
      </w:divBdr>
    </w:div>
    <w:div w:id="1837182069">
      <w:bodyDiv w:val="1"/>
      <w:marLeft w:val="0"/>
      <w:marRight w:val="0"/>
      <w:marTop w:val="0"/>
      <w:marBottom w:val="0"/>
      <w:divBdr>
        <w:top w:val="none" w:sz="0" w:space="0" w:color="auto"/>
        <w:left w:val="none" w:sz="0" w:space="0" w:color="auto"/>
        <w:bottom w:val="none" w:sz="0" w:space="0" w:color="auto"/>
        <w:right w:val="none" w:sz="0" w:space="0" w:color="auto"/>
      </w:divBdr>
    </w:div>
    <w:div w:id="1847094301">
      <w:bodyDiv w:val="1"/>
      <w:marLeft w:val="0"/>
      <w:marRight w:val="0"/>
      <w:marTop w:val="0"/>
      <w:marBottom w:val="0"/>
      <w:divBdr>
        <w:top w:val="none" w:sz="0" w:space="0" w:color="auto"/>
        <w:left w:val="none" w:sz="0" w:space="0" w:color="auto"/>
        <w:bottom w:val="none" w:sz="0" w:space="0" w:color="auto"/>
        <w:right w:val="none" w:sz="0" w:space="0" w:color="auto"/>
      </w:divBdr>
    </w:div>
    <w:div w:id="1848128249">
      <w:bodyDiv w:val="1"/>
      <w:marLeft w:val="0"/>
      <w:marRight w:val="0"/>
      <w:marTop w:val="0"/>
      <w:marBottom w:val="0"/>
      <w:divBdr>
        <w:top w:val="none" w:sz="0" w:space="0" w:color="auto"/>
        <w:left w:val="none" w:sz="0" w:space="0" w:color="auto"/>
        <w:bottom w:val="none" w:sz="0" w:space="0" w:color="auto"/>
        <w:right w:val="none" w:sz="0" w:space="0" w:color="auto"/>
      </w:divBdr>
    </w:div>
    <w:div w:id="1855874383">
      <w:bodyDiv w:val="1"/>
      <w:marLeft w:val="0"/>
      <w:marRight w:val="0"/>
      <w:marTop w:val="0"/>
      <w:marBottom w:val="0"/>
      <w:divBdr>
        <w:top w:val="none" w:sz="0" w:space="0" w:color="auto"/>
        <w:left w:val="none" w:sz="0" w:space="0" w:color="auto"/>
        <w:bottom w:val="none" w:sz="0" w:space="0" w:color="auto"/>
        <w:right w:val="none" w:sz="0" w:space="0" w:color="auto"/>
      </w:divBdr>
    </w:div>
    <w:div w:id="1862890626">
      <w:bodyDiv w:val="1"/>
      <w:marLeft w:val="0"/>
      <w:marRight w:val="0"/>
      <w:marTop w:val="0"/>
      <w:marBottom w:val="0"/>
      <w:divBdr>
        <w:top w:val="none" w:sz="0" w:space="0" w:color="auto"/>
        <w:left w:val="none" w:sz="0" w:space="0" w:color="auto"/>
        <w:bottom w:val="none" w:sz="0" w:space="0" w:color="auto"/>
        <w:right w:val="none" w:sz="0" w:space="0" w:color="auto"/>
      </w:divBdr>
    </w:div>
    <w:div w:id="1865442448">
      <w:bodyDiv w:val="1"/>
      <w:marLeft w:val="0"/>
      <w:marRight w:val="0"/>
      <w:marTop w:val="0"/>
      <w:marBottom w:val="0"/>
      <w:divBdr>
        <w:top w:val="none" w:sz="0" w:space="0" w:color="auto"/>
        <w:left w:val="none" w:sz="0" w:space="0" w:color="auto"/>
        <w:bottom w:val="none" w:sz="0" w:space="0" w:color="auto"/>
        <w:right w:val="none" w:sz="0" w:space="0" w:color="auto"/>
      </w:divBdr>
    </w:div>
    <w:div w:id="1866282855">
      <w:bodyDiv w:val="1"/>
      <w:marLeft w:val="0"/>
      <w:marRight w:val="0"/>
      <w:marTop w:val="0"/>
      <w:marBottom w:val="0"/>
      <w:divBdr>
        <w:top w:val="none" w:sz="0" w:space="0" w:color="auto"/>
        <w:left w:val="none" w:sz="0" w:space="0" w:color="auto"/>
        <w:bottom w:val="none" w:sz="0" w:space="0" w:color="auto"/>
        <w:right w:val="none" w:sz="0" w:space="0" w:color="auto"/>
      </w:divBdr>
    </w:div>
    <w:div w:id="1866677133">
      <w:bodyDiv w:val="1"/>
      <w:marLeft w:val="0"/>
      <w:marRight w:val="0"/>
      <w:marTop w:val="0"/>
      <w:marBottom w:val="0"/>
      <w:divBdr>
        <w:top w:val="none" w:sz="0" w:space="0" w:color="auto"/>
        <w:left w:val="none" w:sz="0" w:space="0" w:color="auto"/>
        <w:bottom w:val="none" w:sz="0" w:space="0" w:color="auto"/>
        <w:right w:val="none" w:sz="0" w:space="0" w:color="auto"/>
      </w:divBdr>
    </w:div>
    <w:div w:id="1867985653">
      <w:bodyDiv w:val="1"/>
      <w:marLeft w:val="0"/>
      <w:marRight w:val="0"/>
      <w:marTop w:val="0"/>
      <w:marBottom w:val="0"/>
      <w:divBdr>
        <w:top w:val="none" w:sz="0" w:space="0" w:color="auto"/>
        <w:left w:val="none" w:sz="0" w:space="0" w:color="auto"/>
        <w:bottom w:val="none" w:sz="0" w:space="0" w:color="auto"/>
        <w:right w:val="none" w:sz="0" w:space="0" w:color="auto"/>
      </w:divBdr>
    </w:div>
    <w:div w:id="1868717721">
      <w:bodyDiv w:val="1"/>
      <w:marLeft w:val="0"/>
      <w:marRight w:val="0"/>
      <w:marTop w:val="0"/>
      <w:marBottom w:val="0"/>
      <w:divBdr>
        <w:top w:val="none" w:sz="0" w:space="0" w:color="auto"/>
        <w:left w:val="none" w:sz="0" w:space="0" w:color="auto"/>
        <w:bottom w:val="none" w:sz="0" w:space="0" w:color="auto"/>
        <w:right w:val="none" w:sz="0" w:space="0" w:color="auto"/>
      </w:divBdr>
    </w:div>
    <w:div w:id="1869297184">
      <w:bodyDiv w:val="1"/>
      <w:marLeft w:val="0"/>
      <w:marRight w:val="0"/>
      <w:marTop w:val="0"/>
      <w:marBottom w:val="0"/>
      <w:divBdr>
        <w:top w:val="none" w:sz="0" w:space="0" w:color="auto"/>
        <w:left w:val="none" w:sz="0" w:space="0" w:color="auto"/>
        <w:bottom w:val="none" w:sz="0" w:space="0" w:color="auto"/>
        <w:right w:val="none" w:sz="0" w:space="0" w:color="auto"/>
      </w:divBdr>
    </w:div>
    <w:div w:id="1870141422">
      <w:bodyDiv w:val="1"/>
      <w:marLeft w:val="0"/>
      <w:marRight w:val="0"/>
      <w:marTop w:val="0"/>
      <w:marBottom w:val="0"/>
      <w:divBdr>
        <w:top w:val="none" w:sz="0" w:space="0" w:color="auto"/>
        <w:left w:val="none" w:sz="0" w:space="0" w:color="auto"/>
        <w:bottom w:val="none" w:sz="0" w:space="0" w:color="auto"/>
        <w:right w:val="none" w:sz="0" w:space="0" w:color="auto"/>
      </w:divBdr>
    </w:div>
    <w:div w:id="1870799289">
      <w:bodyDiv w:val="1"/>
      <w:marLeft w:val="0"/>
      <w:marRight w:val="0"/>
      <w:marTop w:val="0"/>
      <w:marBottom w:val="0"/>
      <w:divBdr>
        <w:top w:val="none" w:sz="0" w:space="0" w:color="auto"/>
        <w:left w:val="none" w:sz="0" w:space="0" w:color="auto"/>
        <w:bottom w:val="none" w:sz="0" w:space="0" w:color="auto"/>
        <w:right w:val="none" w:sz="0" w:space="0" w:color="auto"/>
      </w:divBdr>
    </w:div>
    <w:div w:id="1871407865">
      <w:bodyDiv w:val="1"/>
      <w:marLeft w:val="0"/>
      <w:marRight w:val="0"/>
      <w:marTop w:val="0"/>
      <w:marBottom w:val="0"/>
      <w:divBdr>
        <w:top w:val="none" w:sz="0" w:space="0" w:color="auto"/>
        <w:left w:val="none" w:sz="0" w:space="0" w:color="auto"/>
        <w:bottom w:val="none" w:sz="0" w:space="0" w:color="auto"/>
        <w:right w:val="none" w:sz="0" w:space="0" w:color="auto"/>
      </w:divBdr>
    </w:div>
    <w:div w:id="1872456459">
      <w:bodyDiv w:val="1"/>
      <w:marLeft w:val="0"/>
      <w:marRight w:val="0"/>
      <w:marTop w:val="0"/>
      <w:marBottom w:val="0"/>
      <w:divBdr>
        <w:top w:val="none" w:sz="0" w:space="0" w:color="auto"/>
        <w:left w:val="none" w:sz="0" w:space="0" w:color="auto"/>
        <w:bottom w:val="none" w:sz="0" w:space="0" w:color="auto"/>
        <w:right w:val="none" w:sz="0" w:space="0" w:color="auto"/>
      </w:divBdr>
    </w:div>
    <w:div w:id="1872914197">
      <w:bodyDiv w:val="1"/>
      <w:marLeft w:val="0"/>
      <w:marRight w:val="0"/>
      <w:marTop w:val="0"/>
      <w:marBottom w:val="0"/>
      <w:divBdr>
        <w:top w:val="none" w:sz="0" w:space="0" w:color="auto"/>
        <w:left w:val="none" w:sz="0" w:space="0" w:color="auto"/>
        <w:bottom w:val="none" w:sz="0" w:space="0" w:color="auto"/>
        <w:right w:val="none" w:sz="0" w:space="0" w:color="auto"/>
      </w:divBdr>
    </w:div>
    <w:div w:id="1872960491">
      <w:bodyDiv w:val="1"/>
      <w:marLeft w:val="0"/>
      <w:marRight w:val="0"/>
      <w:marTop w:val="0"/>
      <w:marBottom w:val="0"/>
      <w:divBdr>
        <w:top w:val="none" w:sz="0" w:space="0" w:color="auto"/>
        <w:left w:val="none" w:sz="0" w:space="0" w:color="auto"/>
        <w:bottom w:val="none" w:sz="0" w:space="0" w:color="auto"/>
        <w:right w:val="none" w:sz="0" w:space="0" w:color="auto"/>
      </w:divBdr>
    </w:div>
    <w:div w:id="1876427932">
      <w:bodyDiv w:val="1"/>
      <w:marLeft w:val="0"/>
      <w:marRight w:val="0"/>
      <w:marTop w:val="0"/>
      <w:marBottom w:val="0"/>
      <w:divBdr>
        <w:top w:val="none" w:sz="0" w:space="0" w:color="auto"/>
        <w:left w:val="none" w:sz="0" w:space="0" w:color="auto"/>
        <w:bottom w:val="none" w:sz="0" w:space="0" w:color="auto"/>
        <w:right w:val="none" w:sz="0" w:space="0" w:color="auto"/>
      </w:divBdr>
    </w:div>
    <w:div w:id="1876962980">
      <w:bodyDiv w:val="1"/>
      <w:marLeft w:val="0"/>
      <w:marRight w:val="0"/>
      <w:marTop w:val="0"/>
      <w:marBottom w:val="0"/>
      <w:divBdr>
        <w:top w:val="none" w:sz="0" w:space="0" w:color="auto"/>
        <w:left w:val="none" w:sz="0" w:space="0" w:color="auto"/>
        <w:bottom w:val="none" w:sz="0" w:space="0" w:color="auto"/>
        <w:right w:val="none" w:sz="0" w:space="0" w:color="auto"/>
      </w:divBdr>
    </w:div>
    <w:div w:id="1878197490">
      <w:bodyDiv w:val="1"/>
      <w:marLeft w:val="0"/>
      <w:marRight w:val="0"/>
      <w:marTop w:val="0"/>
      <w:marBottom w:val="0"/>
      <w:divBdr>
        <w:top w:val="none" w:sz="0" w:space="0" w:color="auto"/>
        <w:left w:val="none" w:sz="0" w:space="0" w:color="auto"/>
        <w:bottom w:val="none" w:sz="0" w:space="0" w:color="auto"/>
        <w:right w:val="none" w:sz="0" w:space="0" w:color="auto"/>
      </w:divBdr>
    </w:div>
    <w:div w:id="1879274239">
      <w:bodyDiv w:val="1"/>
      <w:marLeft w:val="0"/>
      <w:marRight w:val="0"/>
      <w:marTop w:val="0"/>
      <w:marBottom w:val="0"/>
      <w:divBdr>
        <w:top w:val="none" w:sz="0" w:space="0" w:color="auto"/>
        <w:left w:val="none" w:sz="0" w:space="0" w:color="auto"/>
        <w:bottom w:val="none" w:sz="0" w:space="0" w:color="auto"/>
        <w:right w:val="none" w:sz="0" w:space="0" w:color="auto"/>
      </w:divBdr>
    </w:div>
    <w:div w:id="1884439268">
      <w:bodyDiv w:val="1"/>
      <w:marLeft w:val="0"/>
      <w:marRight w:val="0"/>
      <w:marTop w:val="0"/>
      <w:marBottom w:val="0"/>
      <w:divBdr>
        <w:top w:val="none" w:sz="0" w:space="0" w:color="auto"/>
        <w:left w:val="none" w:sz="0" w:space="0" w:color="auto"/>
        <w:bottom w:val="none" w:sz="0" w:space="0" w:color="auto"/>
        <w:right w:val="none" w:sz="0" w:space="0" w:color="auto"/>
      </w:divBdr>
    </w:div>
    <w:div w:id="1885285927">
      <w:bodyDiv w:val="1"/>
      <w:marLeft w:val="0"/>
      <w:marRight w:val="0"/>
      <w:marTop w:val="0"/>
      <w:marBottom w:val="0"/>
      <w:divBdr>
        <w:top w:val="none" w:sz="0" w:space="0" w:color="auto"/>
        <w:left w:val="none" w:sz="0" w:space="0" w:color="auto"/>
        <w:bottom w:val="none" w:sz="0" w:space="0" w:color="auto"/>
        <w:right w:val="none" w:sz="0" w:space="0" w:color="auto"/>
      </w:divBdr>
    </w:div>
    <w:div w:id="1885361074">
      <w:bodyDiv w:val="1"/>
      <w:marLeft w:val="0"/>
      <w:marRight w:val="0"/>
      <w:marTop w:val="0"/>
      <w:marBottom w:val="0"/>
      <w:divBdr>
        <w:top w:val="none" w:sz="0" w:space="0" w:color="auto"/>
        <w:left w:val="none" w:sz="0" w:space="0" w:color="auto"/>
        <w:bottom w:val="none" w:sz="0" w:space="0" w:color="auto"/>
        <w:right w:val="none" w:sz="0" w:space="0" w:color="auto"/>
      </w:divBdr>
    </w:div>
    <w:div w:id="1887528612">
      <w:bodyDiv w:val="1"/>
      <w:marLeft w:val="0"/>
      <w:marRight w:val="0"/>
      <w:marTop w:val="0"/>
      <w:marBottom w:val="0"/>
      <w:divBdr>
        <w:top w:val="none" w:sz="0" w:space="0" w:color="auto"/>
        <w:left w:val="none" w:sz="0" w:space="0" w:color="auto"/>
        <w:bottom w:val="none" w:sz="0" w:space="0" w:color="auto"/>
        <w:right w:val="none" w:sz="0" w:space="0" w:color="auto"/>
      </w:divBdr>
    </w:div>
    <w:div w:id="1888029101">
      <w:bodyDiv w:val="1"/>
      <w:marLeft w:val="0"/>
      <w:marRight w:val="0"/>
      <w:marTop w:val="0"/>
      <w:marBottom w:val="0"/>
      <w:divBdr>
        <w:top w:val="none" w:sz="0" w:space="0" w:color="auto"/>
        <w:left w:val="none" w:sz="0" w:space="0" w:color="auto"/>
        <w:bottom w:val="none" w:sz="0" w:space="0" w:color="auto"/>
        <w:right w:val="none" w:sz="0" w:space="0" w:color="auto"/>
      </w:divBdr>
    </w:div>
    <w:div w:id="1888225666">
      <w:bodyDiv w:val="1"/>
      <w:marLeft w:val="0"/>
      <w:marRight w:val="0"/>
      <w:marTop w:val="0"/>
      <w:marBottom w:val="0"/>
      <w:divBdr>
        <w:top w:val="none" w:sz="0" w:space="0" w:color="auto"/>
        <w:left w:val="none" w:sz="0" w:space="0" w:color="auto"/>
        <w:bottom w:val="none" w:sz="0" w:space="0" w:color="auto"/>
        <w:right w:val="none" w:sz="0" w:space="0" w:color="auto"/>
      </w:divBdr>
    </w:div>
    <w:div w:id="1888758653">
      <w:bodyDiv w:val="1"/>
      <w:marLeft w:val="0"/>
      <w:marRight w:val="0"/>
      <w:marTop w:val="0"/>
      <w:marBottom w:val="0"/>
      <w:divBdr>
        <w:top w:val="none" w:sz="0" w:space="0" w:color="auto"/>
        <w:left w:val="none" w:sz="0" w:space="0" w:color="auto"/>
        <w:bottom w:val="none" w:sz="0" w:space="0" w:color="auto"/>
        <w:right w:val="none" w:sz="0" w:space="0" w:color="auto"/>
      </w:divBdr>
    </w:div>
    <w:div w:id="1888832890">
      <w:bodyDiv w:val="1"/>
      <w:marLeft w:val="0"/>
      <w:marRight w:val="0"/>
      <w:marTop w:val="0"/>
      <w:marBottom w:val="0"/>
      <w:divBdr>
        <w:top w:val="none" w:sz="0" w:space="0" w:color="auto"/>
        <w:left w:val="none" w:sz="0" w:space="0" w:color="auto"/>
        <w:bottom w:val="none" w:sz="0" w:space="0" w:color="auto"/>
        <w:right w:val="none" w:sz="0" w:space="0" w:color="auto"/>
      </w:divBdr>
    </w:div>
    <w:div w:id="1890219264">
      <w:bodyDiv w:val="1"/>
      <w:marLeft w:val="0"/>
      <w:marRight w:val="0"/>
      <w:marTop w:val="0"/>
      <w:marBottom w:val="0"/>
      <w:divBdr>
        <w:top w:val="none" w:sz="0" w:space="0" w:color="auto"/>
        <w:left w:val="none" w:sz="0" w:space="0" w:color="auto"/>
        <w:bottom w:val="none" w:sz="0" w:space="0" w:color="auto"/>
        <w:right w:val="none" w:sz="0" w:space="0" w:color="auto"/>
      </w:divBdr>
    </w:div>
    <w:div w:id="1891264695">
      <w:bodyDiv w:val="1"/>
      <w:marLeft w:val="0"/>
      <w:marRight w:val="0"/>
      <w:marTop w:val="0"/>
      <w:marBottom w:val="0"/>
      <w:divBdr>
        <w:top w:val="none" w:sz="0" w:space="0" w:color="auto"/>
        <w:left w:val="none" w:sz="0" w:space="0" w:color="auto"/>
        <w:bottom w:val="none" w:sz="0" w:space="0" w:color="auto"/>
        <w:right w:val="none" w:sz="0" w:space="0" w:color="auto"/>
      </w:divBdr>
    </w:div>
    <w:div w:id="1893347054">
      <w:bodyDiv w:val="1"/>
      <w:marLeft w:val="0"/>
      <w:marRight w:val="0"/>
      <w:marTop w:val="0"/>
      <w:marBottom w:val="0"/>
      <w:divBdr>
        <w:top w:val="none" w:sz="0" w:space="0" w:color="auto"/>
        <w:left w:val="none" w:sz="0" w:space="0" w:color="auto"/>
        <w:bottom w:val="none" w:sz="0" w:space="0" w:color="auto"/>
        <w:right w:val="none" w:sz="0" w:space="0" w:color="auto"/>
      </w:divBdr>
    </w:div>
    <w:div w:id="1896160417">
      <w:bodyDiv w:val="1"/>
      <w:marLeft w:val="0"/>
      <w:marRight w:val="0"/>
      <w:marTop w:val="0"/>
      <w:marBottom w:val="0"/>
      <w:divBdr>
        <w:top w:val="none" w:sz="0" w:space="0" w:color="auto"/>
        <w:left w:val="none" w:sz="0" w:space="0" w:color="auto"/>
        <w:bottom w:val="none" w:sz="0" w:space="0" w:color="auto"/>
        <w:right w:val="none" w:sz="0" w:space="0" w:color="auto"/>
      </w:divBdr>
    </w:div>
    <w:div w:id="1896819068">
      <w:bodyDiv w:val="1"/>
      <w:marLeft w:val="0"/>
      <w:marRight w:val="0"/>
      <w:marTop w:val="0"/>
      <w:marBottom w:val="0"/>
      <w:divBdr>
        <w:top w:val="none" w:sz="0" w:space="0" w:color="auto"/>
        <w:left w:val="none" w:sz="0" w:space="0" w:color="auto"/>
        <w:bottom w:val="none" w:sz="0" w:space="0" w:color="auto"/>
        <w:right w:val="none" w:sz="0" w:space="0" w:color="auto"/>
      </w:divBdr>
    </w:div>
    <w:div w:id="1897935401">
      <w:bodyDiv w:val="1"/>
      <w:marLeft w:val="0"/>
      <w:marRight w:val="0"/>
      <w:marTop w:val="0"/>
      <w:marBottom w:val="0"/>
      <w:divBdr>
        <w:top w:val="none" w:sz="0" w:space="0" w:color="auto"/>
        <w:left w:val="none" w:sz="0" w:space="0" w:color="auto"/>
        <w:bottom w:val="none" w:sz="0" w:space="0" w:color="auto"/>
        <w:right w:val="none" w:sz="0" w:space="0" w:color="auto"/>
      </w:divBdr>
    </w:div>
    <w:div w:id="1899125601">
      <w:bodyDiv w:val="1"/>
      <w:marLeft w:val="0"/>
      <w:marRight w:val="0"/>
      <w:marTop w:val="0"/>
      <w:marBottom w:val="0"/>
      <w:divBdr>
        <w:top w:val="none" w:sz="0" w:space="0" w:color="auto"/>
        <w:left w:val="none" w:sz="0" w:space="0" w:color="auto"/>
        <w:bottom w:val="none" w:sz="0" w:space="0" w:color="auto"/>
        <w:right w:val="none" w:sz="0" w:space="0" w:color="auto"/>
      </w:divBdr>
    </w:div>
    <w:div w:id="1899197160">
      <w:bodyDiv w:val="1"/>
      <w:marLeft w:val="0"/>
      <w:marRight w:val="0"/>
      <w:marTop w:val="0"/>
      <w:marBottom w:val="0"/>
      <w:divBdr>
        <w:top w:val="none" w:sz="0" w:space="0" w:color="auto"/>
        <w:left w:val="none" w:sz="0" w:space="0" w:color="auto"/>
        <w:bottom w:val="none" w:sz="0" w:space="0" w:color="auto"/>
        <w:right w:val="none" w:sz="0" w:space="0" w:color="auto"/>
      </w:divBdr>
    </w:div>
    <w:div w:id="1900436547">
      <w:bodyDiv w:val="1"/>
      <w:marLeft w:val="0"/>
      <w:marRight w:val="0"/>
      <w:marTop w:val="0"/>
      <w:marBottom w:val="0"/>
      <w:divBdr>
        <w:top w:val="none" w:sz="0" w:space="0" w:color="auto"/>
        <w:left w:val="none" w:sz="0" w:space="0" w:color="auto"/>
        <w:bottom w:val="none" w:sz="0" w:space="0" w:color="auto"/>
        <w:right w:val="none" w:sz="0" w:space="0" w:color="auto"/>
      </w:divBdr>
    </w:div>
    <w:div w:id="1901357529">
      <w:bodyDiv w:val="1"/>
      <w:marLeft w:val="0"/>
      <w:marRight w:val="0"/>
      <w:marTop w:val="0"/>
      <w:marBottom w:val="0"/>
      <w:divBdr>
        <w:top w:val="none" w:sz="0" w:space="0" w:color="auto"/>
        <w:left w:val="none" w:sz="0" w:space="0" w:color="auto"/>
        <w:bottom w:val="none" w:sz="0" w:space="0" w:color="auto"/>
        <w:right w:val="none" w:sz="0" w:space="0" w:color="auto"/>
      </w:divBdr>
    </w:div>
    <w:div w:id="1903981699">
      <w:bodyDiv w:val="1"/>
      <w:marLeft w:val="0"/>
      <w:marRight w:val="0"/>
      <w:marTop w:val="0"/>
      <w:marBottom w:val="0"/>
      <w:divBdr>
        <w:top w:val="none" w:sz="0" w:space="0" w:color="auto"/>
        <w:left w:val="none" w:sz="0" w:space="0" w:color="auto"/>
        <w:bottom w:val="none" w:sz="0" w:space="0" w:color="auto"/>
        <w:right w:val="none" w:sz="0" w:space="0" w:color="auto"/>
      </w:divBdr>
    </w:div>
    <w:div w:id="1904631567">
      <w:bodyDiv w:val="1"/>
      <w:marLeft w:val="0"/>
      <w:marRight w:val="0"/>
      <w:marTop w:val="0"/>
      <w:marBottom w:val="0"/>
      <w:divBdr>
        <w:top w:val="none" w:sz="0" w:space="0" w:color="auto"/>
        <w:left w:val="none" w:sz="0" w:space="0" w:color="auto"/>
        <w:bottom w:val="none" w:sz="0" w:space="0" w:color="auto"/>
        <w:right w:val="none" w:sz="0" w:space="0" w:color="auto"/>
      </w:divBdr>
    </w:div>
    <w:div w:id="1905263144">
      <w:bodyDiv w:val="1"/>
      <w:marLeft w:val="0"/>
      <w:marRight w:val="0"/>
      <w:marTop w:val="0"/>
      <w:marBottom w:val="0"/>
      <w:divBdr>
        <w:top w:val="none" w:sz="0" w:space="0" w:color="auto"/>
        <w:left w:val="none" w:sz="0" w:space="0" w:color="auto"/>
        <w:bottom w:val="none" w:sz="0" w:space="0" w:color="auto"/>
        <w:right w:val="none" w:sz="0" w:space="0" w:color="auto"/>
      </w:divBdr>
    </w:div>
    <w:div w:id="1908876795">
      <w:bodyDiv w:val="1"/>
      <w:marLeft w:val="0"/>
      <w:marRight w:val="0"/>
      <w:marTop w:val="0"/>
      <w:marBottom w:val="0"/>
      <w:divBdr>
        <w:top w:val="none" w:sz="0" w:space="0" w:color="auto"/>
        <w:left w:val="none" w:sz="0" w:space="0" w:color="auto"/>
        <w:bottom w:val="none" w:sz="0" w:space="0" w:color="auto"/>
        <w:right w:val="none" w:sz="0" w:space="0" w:color="auto"/>
      </w:divBdr>
    </w:div>
    <w:div w:id="1913004686">
      <w:bodyDiv w:val="1"/>
      <w:marLeft w:val="0"/>
      <w:marRight w:val="0"/>
      <w:marTop w:val="0"/>
      <w:marBottom w:val="0"/>
      <w:divBdr>
        <w:top w:val="none" w:sz="0" w:space="0" w:color="auto"/>
        <w:left w:val="none" w:sz="0" w:space="0" w:color="auto"/>
        <w:bottom w:val="none" w:sz="0" w:space="0" w:color="auto"/>
        <w:right w:val="none" w:sz="0" w:space="0" w:color="auto"/>
      </w:divBdr>
    </w:div>
    <w:div w:id="1914195635">
      <w:bodyDiv w:val="1"/>
      <w:marLeft w:val="0"/>
      <w:marRight w:val="0"/>
      <w:marTop w:val="0"/>
      <w:marBottom w:val="0"/>
      <w:divBdr>
        <w:top w:val="none" w:sz="0" w:space="0" w:color="auto"/>
        <w:left w:val="none" w:sz="0" w:space="0" w:color="auto"/>
        <w:bottom w:val="none" w:sz="0" w:space="0" w:color="auto"/>
        <w:right w:val="none" w:sz="0" w:space="0" w:color="auto"/>
      </w:divBdr>
    </w:div>
    <w:div w:id="1917279862">
      <w:bodyDiv w:val="1"/>
      <w:marLeft w:val="0"/>
      <w:marRight w:val="0"/>
      <w:marTop w:val="0"/>
      <w:marBottom w:val="0"/>
      <w:divBdr>
        <w:top w:val="none" w:sz="0" w:space="0" w:color="auto"/>
        <w:left w:val="none" w:sz="0" w:space="0" w:color="auto"/>
        <w:bottom w:val="none" w:sz="0" w:space="0" w:color="auto"/>
        <w:right w:val="none" w:sz="0" w:space="0" w:color="auto"/>
      </w:divBdr>
    </w:div>
    <w:div w:id="1917738630">
      <w:bodyDiv w:val="1"/>
      <w:marLeft w:val="0"/>
      <w:marRight w:val="0"/>
      <w:marTop w:val="0"/>
      <w:marBottom w:val="0"/>
      <w:divBdr>
        <w:top w:val="none" w:sz="0" w:space="0" w:color="auto"/>
        <w:left w:val="none" w:sz="0" w:space="0" w:color="auto"/>
        <w:bottom w:val="none" w:sz="0" w:space="0" w:color="auto"/>
        <w:right w:val="none" w:sz="0" w:space="0" w:color="auto"/>
      </w:divBdr>
    </w:div>
    <w:div w:id="1919249879">
      <w:bodyDiv w:val="1"/>
      <w:marLeft w:val="0"/>
      <w:marRight w:val="0"/>
      <w:marTop w:val="0"/>
      <w:marBottom w:val="0"/>
      <w:divBdr>
        <w:top w:val="none" w:sz="0" w:space="0" w:color="auto"/>
        <w:left w:val="none" w:sz="0" w:space="0" w:color="auto"/>
        <w:bottom w:val="none" w:sz="0" w:space="0" w:color="auto"/>
        <w:right w:val="none" w:sz="0" w:space="0" w:color="auto"/>
      </w:divBdr>
    </w:div>
    <w:div w:id="1924222796">
      <w:bodyDiv w:val="1"/>
      <w:marLeft w:val="0"/>
      <w:marRight w:val="0"/>
      <w:marTop w:val="0"/>
      <w:marBottom w:val="0"/>
      <w:divBdr>
        <w:top w:val="none" w:sz="0" w:space="0" w:color="auto"/>
        <w:left w:val="none" w:sz="0" w:space="0" w:color="auto"/>
        <w:bottom w:val="none" w:sz="0" w:space="0" w:color="auto"/>
        <w:right w:val="none" w:sz="0" w:space="0" w:color="auto"/>
      </w:divBdr>
    </w:div>
    <w:div w:id="1924297873">
      <w:bodyDiv w:val="1"/>
      <w:marLeft w:val="0"/>
      <w:marRight w:val="0"/>
      <w:marTop w:val="0"/>
      <w:marBottom w:val="0"/>
      <w:divBdr>
        <w:top w:val="none" w:sz="0" w:space="0" w:color="auto"/>
        <w:left w:val="none" w:sz="0" w:space="0" w:color="auto"/>
        <w:bottom w:val="none" w:sz="0" w:space="0" w:color="auto"/>
        <w:right w:val="none" w:sz="0" w:space="0" w:color="auto"/>
      </w:divBdr>
    </w:div>
    <w:div w:id="1927574625">
      <w:bodyDiv w:val="1"/>
      <w:marLeft w:val="0"/>
      <w:marRight w:val="0"/>
      <w:marTop w:val="0"/>
      <w:marBottom w:val="0"/>
      <w:divBdr>
        <w:top w:val="none" w:sz="0" w:space="0" w:color="auto"/>
        <w:left w:val="none" w:sz="0" w:space="0" w:color="auto"/>
        <w:bottom w:val="none" w:sz="0" w:space="0" w:color="auto"/>
        <w:right w:val="none" w:sz="0" w:space="0" w:color="auto"/>
      </w:divBdr>
    </w:div>
    <w:div w:id="1927877524">
      <w:bodyDiv w:val="1"/>
      <w:marLeft w:val="0"/>
      <w:marRight w:val="0"/>
      <w:marTop w:val="0"/>
      <w:marBottom w:val="0"/>
      <w:divBdr>
        <w:top w:val="none" w:sz="0" w:space="0" w:color="auto"/>
        <w:left w:val="none" w:sz="0" w:space="0" w:color="auto"/>
        <w:bottom w:val="none" w:sz="0" w:space="0" w:color="auto"/>
        <w:right w:val="none" w:sz="0" w:space="0" w:color="auto"/>
      </w:divBdr>
    </w:div>
    <w:div w:id="1929269094">
      <w:bodyDiv w:val="1"/>
      <w:marLeft w:val="0"/>
      <w:marRight w:val="0"/>
      <w:marTop w:val="0"/>
      <w:marBottom w:val="0"/>
      <w:divBdr>
        <w:top w:val="none" w:sz="0" w:space="0" w:color="auto"/>
        <w:left w:val="none" w:sz="0" w:space="0" w:color="auto"/>
        <w:bottom w:val="none" w:sz="0" w:space="0" w:color="auto"/>
        <w:right w:val="none" w:sz="0" w:space="0" w:color="auto"/>
      </w:divBdr>
    </w:div>
    <w:div w:id="1933388336">
      <w:bodyDiv w:val="1"/>
      <w:marLeft w:val="0"/>
      <w:marRight w:val="0"/>
      <w:marTop w:val="0"/>
      <w:marBottom w:val="0"/>
      <w:divBdr>
        <w:top w:val="none" w:sz="0" w:space="0" w:color="auto"/>
        <w:left w:val="none" w:sz="0" w:space="0" w:color="auto"/>
        <w:bottom w:val="none" w:sz="0" w:space="0" w:color="auto"/>
        <w:right w:val="none" w:sz="0" w:space="0" w:color="auto"/>
      </w:divBdr>
    </w:div>
    <w:div w:id="1933934155">
      <w:bodyDiv w:val="1"/>
      <w:marLeft w:val="0"/>
      <w:marRight w:val="0"/>
      <w:marTop w:val="0"/>
      <w:marBottom w:val="0"/>
      <w:divBdr>
        <w:top w:val="none" w:sz="0" w:space="0" w:color="auto"/>
        <w:left w:val="none" w:sz="0" w:space="0" w:color="auto"/>
        <w:bottom w:val="none" w:sz="0" w:space="0" w:color="auto"/>
        <w:right w:val="none" w:sz="0" w:space="0" w:color="auto"/>
      </w:divBdr>
    </w:div>
    <w:div w:id="1936280172">
      <w:bodyDiv w:val="1"/>
      <w:marLeft w:val="0"/>
      <w:marRight w:val="0"/>
      <w:marTop w:val="0"/>
      <w:marBottom w:val="0"/>
      <w:divBdr>
        <w:top w:val="none" w:sz="0" w:space="0" w:color="auto"/>
        <w:left w:val="none" w:sz="0" w:space="0" w:color="auto"/>
        <w:bottom w:val="none" w:sz="0" w:space="0" w:color="auto"/>
        <w:right w:val="none" w:sz="0" w:space="0" w:color="auto"/>
      </w:divBdr>
    </w:div>
    <w:div w:id="1936472113">
      <w:bodyDiv w:val="1"/>
      <w:marLeft w:val="0"/>
      <w:marRight w:val="0"/>
      <w:marTop w:val="0"/>
      <w:marBottom w:val="0"/>
      <w:divBdr>
        <w:top w:val="none" w:sz="0" w:space="0" w:color="auto"/>
        <w:left w:val="none" w:sz="0" w:space="0" w:color="auto"/>
        <w:bottom w:val="none" w:sz="0" w:space="0" w:color="auto"/>
        <w:right w:val="none" w:sz="0" w:space="0" w:color="auto"/>
      </w:divBdr>
    </w:div>
    <w:div w:id="1940025542">
      <w:bodyDiv w:val="1"/>
      <w:marLeft w:val="0"/>
      <w:marRight w:val="0"/>
      <w:marTop w:val="0"/>
      <w:marBottom w:val="0"/>
      <w:divBdr>
        <w:top w:val="none" w:sz="0" w:space="0" w:color="auto"/>
        <w:left w:val="none" w:sz="0" w:space="0" w:color="auto"/>
        <w:bottom w:val="none" w:sz="0" w:space="0" w:color="auto"/>
        <w:right w:val="none" w:sz="0" w:space="0" w:color="auto"/>
      </w:divBdr>
    </w:div>
    <w:div w:id="1940290439">
      <w:bodyDiv w:val="1"/>
      <w:marLeft w:val="0"/>
      <w:marRight w:val="0"/>
      <w:marTop w:val="0"/>
      <w:marBottom w:val="0"/>
      <w:divBdr>
        <w:top w:val="none" w:sz="0" w:space="0" w:color="auto"/>
        <w:left w:val="none" w:sz="0" w:space="0" w:color="auto"/>
        <w:bottom w:val="none" w:sz="0" w:space="0" w:color="auto"/>
        <w:right w:val="none" w:sz="0" w:space="0" w:color="auto"/>
      </w:divBdr>
    </w:div>
    <w:div w:id="1943296965">
      <w:bodyDiv w:val="1"/>
      <w:marLeft w:val="0"/>
      <w:marRight w:val="0"/>
      <w:marTop w:val="0"/>
      <w:marBottom w:val="0"/>
      <w:divBdr>
        <w:top w:val="none" w:sz="0" w:space="0" w:color="auto"/>
        <w:left w:val="none" w:sz="0" w:space="0" w:color="auto"/>
        <w:bottom w:val="none" w:sz="0" w:space="0" w:color="auto"/>
        <w:right w:val="none" w:sz="0" w:space="0" w:color="auto"/>
      </w:divBdr>
    </w:div>
    <w:div w:id="1943681255">
      <w:bodyDiv w:val="1"/>
      <w:marLeft w:val="0"/>
      <w:marRight w:val="0"/>
      <w:marTop w:val="0"/>
      <w:marBottom w:val="0"/>
      <w:divBdr>
        <w:top w:val="none" w:sz="0" w:space="0" w:color="auto"/>
        <w:left w:val="none" w:sz="0" w:space="0" w:color="auto"/>
        <w:bottom w:val="none" w:sz="0" w:space="0" w:color="auto"/>
        <w:right w:val="none" w:sz="0" w:space="0" w:color="auto"/>
      </w:divBdr>
    </w:div>
    <w:div w:id="1944724132">
      <w:bodyDiv w:val="1"/>
      <w:marLeft w:val="0"/>
      <w:marRight w:val="0"/>
      <w:marTop w:val="0"/>
      <w:marBottom w:val="0"/>
      <w:divBdr>
        <w:top w:val="none" w:sz="0" w:space="0" w:color="auto"/>
        <w:left w:val="none" w:sz="0" w:space="0" w:color="auto"/>
        <w:bottom w:val="none" w:sz="0" w:space="0" w:color="auto"/>
        <w:right w:val="none" w:sz="0" w:space="0" w:color="auto"/>
      </w:divBdr>
    </w:div>
    <w:div w:id="1946765174">
      <w:bodyDiv w:val="1"/>
      <w:marLeft w:val="0"/>
      <w:marRight w:val="0"/>
      <w:marTop w:val="0"/>
      <w:marBottom w:val="0"/>
      <w:divBdr>
        <w:top w:val="none" w:sz="0" w:space="0" w:color="auto"/>
        <w:left w:val="none" w:sz="0" w:space="0" w:color="auto"/>
        <w:bottom w:val="none" w:sz="0" w:space="0" w:color="auto"/>
        <w:right w:val="none" w:sz="0" w:space="0" w:color="auto"/>
      </w:divBdr>
    </w:div>
    <w:div w:id="1946842959">
      <w:bodyDiv w:val="1"/>
      <w:marLeft w:val="0"/>
      <w:marRight w:val="0"/>
      <w:marTop w:val="0"/>
      <w:marBottom w:val="0"/>
      <w:divBdr>
        <w:top w:val="none" w:sz="0" w:space="0" w:color="auto"/>
        <w:left w:val="none" w:sz="0" w:space="0" w:color="auto"/>
        <w:bottom w:val="none" w:sz="0" w:space="0" w:color="auto"/>
        <w:right w:val="none" w:sz="0" w:space="0" w:color="auto"/>
      </w:divBdr>
    </w:div>
    <w:div w:id="1949659948">
      <w:bodyDiv w:val="1"/>
      <w:marLeft w:val="0"/>
      <w:marRight w:val="0"/>
      <w:marTop w:val="0"/>
      <w:marBottom w:val="0"/>
      <w:divBdr>
        <w:top w:val="none" w:sz="0" w:space="0" w:color="auto"/>
        <w:left w:val="none" w:sz="0" w:space="0" w:color="auto"/>
        <w:bottom w:val="none" w:sz="0" w:space="0" w:color="auto"/>
        <w:right w:val="none" w:sz="0" w:space="0" w:color="auto"/>
      </w:divBdr>
    </w:div>
    <w:div w:id="1950626352">
      <w:bodyDiv w:val="1"/>
      <w:marLeft w:val="0"/>
      <w:marRight w:val="0"/>
      <w:marTop w:val="0"/>
      <w:marBottom w:val="0"/>
      <w:divBdr>
        <w:top w:val="none" w:sz="0" w:space="0" w:color="auto"/>
        <w:left w:val="none" w:sz="0" w:space="0" w:color="auto"/>
        <w:bottom w:val="none" w:sz="0" w:space="0" w:color="auto"/>
        <w:right w:val="none" w:sz="0" w:space="0" w:color="auto"/>
      </w:divBdr>
    </w:div>
    <w:div w:id="1953052096">
      <w:bodyDiv w:val="1"/>
      <w:marLeft w:val="0"/>
      <w:marRight w:val="0"/>
      <w:marTop w:val="0"/>
      <w:marBottom w:val="0"/>
      <w:divBdr>
        <w:top w:val="none" w:sz="0" w:space="0" w:color="auto"/>
        <w:left w:val="none" w:sz="0" w:space="0" w:color="auto"/>
        <w:bottom w:val="none" w:sz="0" w:space="0" w:color="auto"/>
        <w:right w:val="none" w:sz="0" w:space="0" w:color="auto"/>
      </w:divBdr>
    </w:div>
    <w:div w:id="1954288771">
      <w:bodyDiv w:val="1"/>
      <w:marLeft w:val="0"/>
      <w:marRight w:val="0"/>
      <w:marTop w:val="0"/>
      <w:marBottom w:val="0"/>
      <w:divBdr>
        <w:top w:val="none" w:sz="0" w:space="0" w:color="auto"/>
        <w:left w:val="none" w:sz="0" w:space="0" w:color="auto"/>
        <w:bottom w:val="none" w:sz="0" w:space="0" w:color="auto"/>
        <w:right w:val="none" w:sz="0" w:space="0" w:color="auto"/>
      </w:divBdr>
    </w:div>
    <w:div w:id="1955868424">
      <w:bodyDiv w:val="1"/>
      <w:marLeft w:val="0"/>
      <w:marRight w:val="0"/>
      <w:marTop w:val="0"/>
      <w:marBottom w:val="0"/>
      <w:divBdr>
        <w:top w:val="none" w:sz="0" w:space="0" w:color="auto"/>
        <w:left w:val="none" w:sz="0" w:space="0" w:color="auto"/>
        <w:bottom w:val="none" w:sz="0" w:space="0" w:color="auto"/>
        <w:right w:val="none" w:sz="0" w:space="0" w:color="auto"/>
      </w:divBdr>
    </w:div>
    <w:div w:id="1957519857">
      <w:bodyDiv w:val="1"/>
      <w:marLeft w:val="0"/>
      <w:marRight w:val="0"/>
      <w:marTop w:val="0"/>
      <w:marBottom w:val="0"/>
      <w:divBdr>
        <w:top w:val="none" w:sz="0" w:space="0" w:color="auto"/>
        <w:left w:val="none" w:sz="0" w:space="0" w:color="auto"/>
        <w:bottom w:val="none" w:sz="0" w:space="0" w:color="auto"/>
        <w:right w:val="none" w:sz="0" w:space="0" w:color="auto"/>
      </w:divBdr>
    </w:div>
    <w:div w:id="1959485036">
      <w:bodyDiv w:val="1"/>
      <w:marLeft w:val="0"/>
      <w:marRight w:val="0"/>
      <w:marTop w:val="0"/>
      <w:marBottom w:val="0"/>
      <w:divBdr>
        <w:top w:val="none" w:sz="0" w:space="0" w:color="auto"/>
        <w:left w:val="none" w:sz="0" w:space="0" w:color="auto"/>
        <w:bottom w:val="none" w:sz="0" w:space="0" w:color="auto"/>
        <w:right w:val="none" w:sz="0" w:space="0" w:color="auto"/>
      </w:divBdr>
    </w:div>
    <w:div w:id="1960649169">
      <w:bodyDiv w:val="1"/>
      <w:marLeft w:val="0"/>
      <w:marRight w:val="0"/>
      <w:marTop w:val="0"/>
      <w:marBottom w:val="0"/>
      <w:divBdr>
        <w:top w:val="none" w:sz="0" w:space="0" w:color="auto"/>
        <w:left w:val="none" w:sz="0" w:space="0" w:color="auto"/>
        <w:bottom w:val="none" w:sz="0" w:space="0" w:color="auto"/>
        <w:right w:val="none" w:sz="0" w:space="0" w:color="auto"/>
      </w:divBdr>
    </w:div>
    <w:div w:id="1960723614">
      <w:bodyDiv w:val="1"/>
      <w:marLeft w:val="0"/>
      <w:marRight w:val="0"/>
      <w:marTop w:val="0"/>
      <w:marBottom w:val="0"/>
      <w:divBdr>
        <w:top w:val="none" w:sz="0" w:space="0" w:color="auto"/>
        <w:left w:val="none" w:sz="0" w:space="0" w:color="auto"/>
        <w:bottom w:val="none" w:sz="0" w:space="0" w:color="auto"/>
        <w:right w:val="none" w:sz="0" w:space="0" w:color="auto"/>
      </w:divBdr>
    </w:div>
    <w:div w:id="1962809362">
      <w:bodyDiv w:val="1"/>
      <w:marLeft w:val="0"/>
      <w:marRight w:val="0"/>
      <w:marTop w:val="0"/>
      <w:marBottom w:val="0"/>
      <w:divBdr>
        <w:top w:val="none" w:sz="0" w:space="0" w:color="auto"/>
        <w:left w:val="none" w:sz="0" w:space="0" w:color="auto"/>
        <w:bottom w:val="none" w:sz="0" w:space="0" w:color="auto"/>
        <w:right w:val="none" w:sz="0" w:space="0" w:color="auto"/>
      </w:divBdr>
    </w:div>
    <w:div w:id="1965310557">
      <w:bodyDiv w:val="1"/>
      <w:marLeft w:val="0"/>
      <w:marRight w:val="0"/>
      <w:marTop w:val="0"/>
      <w:marBottom w:val="0"/>
      <w:divBdr>
        <w:top w:val="none" w:sz="0" w:space="0" w:color="auto"/>
        <w:left w:val="none" w:sz="0" w:space="0" w:color="auto"/>
        <w:bottom w:val="none" w:sz="0" w:space="0" w:color="auto"/>
        <w:right w:val="none" w:sz="0" w:space="0" w:color="auto"/>
      </w:divBdr>
    </w:div>
    <w:div w:id="1967154981">
      <w:bodyDiv w:val="1"/>
      <w:marLeft w:val="0"/>
      <w:marRight w:val="0"/>
      <w:marTop w:val="0"/>
      <w:marBottom w:val="0"/>
      <w:divBdr>
        <w:top w:val="none" w:sz="0" w:space="0" w:color="auto"/>
        <w:left w:val="none" w:sz="0" w:space="0" w:color="auto"/>
        <w:bottom w:val="none" w:sz="0" w:space="0" w:color="auto"/>
        <w:right w:val="none" w:sz="0" w:space="0" w:color="auto"/>
      </w:divBdr>
    </w:div>
    <w:div w:id="1967588919">
      <w:bodyDiv w:val="1"/>
      <w:marLeft w:val="0"/>
      <w:marRight w:val="0"/>
      <w:marTop w:val="0"/>
      <w:marBottom w:val="0"/>
      <w:divBdr>
        <w:top w:val="none" w:sz="0" w:space="0" w:color="auto"/>
        <w:left w:val="none" w:sz="0" w:space="0" w:color="auto"/>
        <w:bottom w:val="none" w:sz="0" w:space="0" w:color="auto"/>
        <w:right w:val="none" w:sz="0" w:space="0" w:color="auto"/>
      </w:divBdr>
    </w:div>
    <w:div w:id="1968123406">
      <w:bodyDiv w:val="1"/>
      <w:marLeft w:val="0"/>
      <w:marRight w:val="0"/>
      <w:marTop w:val="0"/>
      <w:marBottom w:val="0"/>
      <w:divBdr>
        <w:top w:val="none" w:sz="0" w:space="0" w:color="auto"/>
        <w:left w:val="none" w:sz="0" w:space="0" w:color="auto"/>
        <w:bottom w:val="none" w:sz="0" w:space="0" w:color="auto"/>
        <w:right w:val="none" w:sz="0" w:space="0" w:color="auto"/>
      </w:divBdr>
    </w:div>
    <w:div w:id="1968466443">
      <w:bodyDiv w:val="1"/>
      <w:marLeft w:val="0"/>
      <w:marRight w:val="0"/>
      <w:marTop w:val="0"/>
      <w:marBottom w:val="0"/>
      <w:divBdr>
        <w:top w:val="none" w:sz="0" w:space="0" w:color="auto"/>
        <w:left w:val="none" w:sz="0" w:space="0" w:color="auto"/>
        <w:bottom w:val="none" w:sz="0" w:space="0" w:color="auto"/>
        <w:right w:val="none" w:sz="0" w:space="0" w:color="auto"/>
      </w:divBdr>
    </w:div>
    <w:div w:id="1969389180">
      <w:bodyDiv w:val="1"/>
      <w:marLeft w:val="0"/>
      <w:marRight w:val="0"/>
      <w:marTop w:val="0"/>
      <w:marBottom w:val="0"/>
      <w:divBdr>
        <w:top w:val="none" w:sz="0" w:space="0" w:color="auto"/>
        <w:left w:val="none" w:sz="0" w:space="0" w:color="auto"/>
        <w:bottom w:val="none" w:sz="0" w:space="0" w:color="auto"/>
        <w:right w:val="none" w:sz="0" w:space="0" w:color="auto"/>
      </w:divBdr>
    </w:div>
    <w:div w:id="1969582929">
      <w:bodyDiv w:val="1"/>
      <w:marLeft w:val="0"/>
      <w:marRight w:val="0"/>
      <w:marTop w:val="0"/>
      <w:marBottom w:val="0"/>
      <w:divBdr>
        <w:top w:val="none" w:sz="0" w:space="0" w:color="auto"/>
        <w:left w:val="none" w:sz="0" w:space="0" w:color="auto"/>
        <w:bottom w:val="none" w:sz="0" w:space="0" w:color="auto"/>
        <w:right w:val="none" w:sz="0" w:space="0" w:color="auto"/>
      </w:divBdr>
    </w:div>
    <w:div w:id="1970235868">
      <w:bodyDiv w:val="1"/>
      <w:marLeft w:val="0"/>
      <w:marRight w:val="0"/>
      <w:marTop w:val="0"/>
      <w:marBottom w:val="0"/>
      <w:divBdr>
        <w:top w:val="none" w:sz="0" w:space="0" w:color="auto"/>
        <w:left w:val="none" w:sz="0" w:space="0" w:color="auto"/>
        <w:bottom w:val="none" w:sz="0" w:space="0" w:color="auto"/>
        <w:right w:val="none" w:sz="0" w:space="0" w:color="auto"/>
      </w:divBdr>
    </w:div>
    <w:div w:id="1973170770">
      <w:bodyDiv w:val="1"/>
      <w:marLeft w:val="0"/>
      <w:marRight w:val="0"/>
      <w:marTop w:val="0"/>
      <w:marBottom w:val="0"/>
      <w:divBdr>
        <w:top w:val="none" w:sz="0" w:space="0" w:color="auto"/>
        <w:left w:val="none" w:sz="0" w:space="0" w:color="auto"/>
        <w:bottom w:val="none" w:sz="0" w:space="0" w:color="auto"/>
        <w:right w:val="none" w:sz="0" w:space="0" w:color="auto"/>
      </w:divBdr>
    </w:div>
    <w:div w:id="1973247083">
      <w:bodyDiv w:val="1"/>
      <w:marLeft w:val="0"/>
      <w:marRight w:val="0"/>
      <w:marTop w:val="0"/>
      <w:marBottom w:val="0"/>
      <w:divBdr>
        <w:top w:val="none" w:sz="0" w:space="0" w:color="auto"/>
        <w:left w:val="none" w:sz="0" w:space="0" w:color="auto"/>
        <w:bottom w:val="none" w:sz="0" w:space="0" w:color="auto"/>
        <w:right w:val="none" w:sz="0" w:space="0" w:color="auto"/>
      </w:divBdr>
    </w:div>
    <w:div w:id="1974092274">
      <w:bodyDiv w:val="1"/>
      <w:marLeft w:val="0"/>
      <w:marRight w:val="0"/>
      <w:marTop w:val="0"/>
      <w:marBottom w:val="0"/>
      <w:divBdr>
        <w:top w:val="none" w:sz="0" w:space="0" w:color="auto"/>
        <w:left w:val="none" w:sz="0" w:space="0" w:color="auto"/>
        <w:bottom w:val="none" w:sz="0" w:space="0" w:color="auto"/>
        <w:right w:val="none" w:sz="0" w:space="0" w:color="auto"/>
      </w:divBdr>
    </w:div>
    <w:div w:id="1977055637">
      <w:bodyDiv w:val="1"/>
      <w:marLeft w:val="0"/>
      <w:marRight w:val="0"/>
      <w:marTop w:val="0"/>
      <w:marBottom w:val="0"/>
      <w:divBdr>
        <w:top w:val="none" w:sz="0" w:space="0" w:color="auto"/>
        <w:left w:val="none" w:sz="0" w:space="0" w:color="auto"/>
        <w:bottom w:val="none" w:sz="0" w:space="0" w:color="auto"/>
        <w:right w:val="none" w:sz="0" w:space="0" w:color="auto"/>
      </w:divBdr>
    </w:div>
    <w:div w:id="1977492497">
      <w:bodyDiv w:val="1"/>
      <w:marLeft w:val="0"/>
      <w:marRight w:val="0"/>
      <w:marTop w:val="0"/>
      <w:marBottom w:val="0"/>
      <w:divBdr>
        <w:top w:val="none" w:sz="0" w:space="0" w:color="auto"/>
        <w:left w:val="none" w:sz="0" w:space="0" w:color="auto"/>
        <w:bottom w:val="none" w:sz="0" w:space="0" w:color="auto"/>
        <w:right w:val="none" w:sz="0" w:space="0" w:color="auto"/>
      </w:divBdr>
    </w:div>
    <w:div w:id="1980264195">
      <w:bodyDiv w:val="1"/>
      <w:marLeft w:val="0"/>
      <w:marRight w:val="0"/>
      <w:marTop w:val="0"/>
      <w:marBottom w:val="0"/>
      <w:divBdr>
        <w:top w:val="none" w:sz="0" w:space="0" w:color="auto"/>
        <w:left w:val="none" w:sz="0" w:space="0" w:color="auto"/>
        <w:bottom w:val="none" w:sz="0" w:space="0" w:color="auto"/>
        <w:right w:val="none" w:sz="0" w:space="0" w:color="auto"/>
      </w:divBdr>
    </w:div>
    <w:div w:id="1980497948">
      <w:bodyDiv w:val="1"/>
      <w:marLeft w:val="0"/>
      <w:marRight w:val="0"/>
      <w:marTop w:val="0"/>
      <w:marBottom w:val="0"/>
      <w:divBdr>
        <w:top w:val="none" w:sz="0" w:space="0" w:color="auto"/>
        <w:left w:val="none" w:sz="0" w:space="0" w:color="auto"/>
        <w:bottom w:val="none" w:sz="0" w:space="0" w:color="auto"/>
        <w:right w:val="none" w:sz="0" w:space="0" w:color="auto"/>
      </w:divBdr>
    </w:div>
    <w:div w:id="1982492771">
      <w:bodyDiv w:val="1"/>
      <w:marLeft w:val="0"/>
      <w:marRight w:val="0"/>
      <w:marTop w:val="0"/>
      <w:marBottom w:val="0"/>
      <w:divBdr>
        <w:top w:val="none" w:sz="0" w:space="0" w:color="auto"/>
        <w:left w:val="none" w:sz="0" w:space="0" w:color="auto"/>
        <w:bottom w:val="none" w:sz="0" w:space="0" w:color="auto"/>
        <w:right w:val="none" w:sz="0" w:space="0" w:color="auto"/>
      </w:divBdr>
    </w:div>
    <w:div w:id="1984311626">
      <w:bodyDiv w:val="1"/>
      <w:marLeft w:val="0"/>
      <w:marRight w:val="0"/>
      <w:marTop w:val="0"/>
      <w:marBottom w:val="0"/>
      <w:divBdr>
        <w:top w:val="none" w:sz="0" w:space="0" w:color="auto"/>
        <w:left w:val="none" w:sz="0" w:space="0" w:color="auto"/>
        <w:bottom w:val="none" w:sz="0" w:space="0" w:color="auto"/>
        <w:right w:val="none" w:sz="0" w:space="0" w:color="auto"/>
      </w:divBdr>
    </w:div>
    <w:div w:id="1984893921">
      <w:bodyDiv w:val="1"/>
      <w:marLeft w:val="0"/>
      <w:marRight w:val="0"/>
      <w:marTop w:val="0"/>
      <w:marBottom w:val="0"/>
      <w:divBdr>
        <w:top w:val="none" w:sz="0" w:space="0" w:color="auto"/>
        <w:left w:val="none" w:sz="0" w:space="0" w:color="auto"/>
        <w:bottom w:val="none" w:sz="0" w:space="0" w:color="auto"/>
        <w:right w:val="none" w:sz="0" w:space="0" w:color="auto"/>
      </w:divBdr>
    </w:div>
    <w:div w:id="1986472866">
      <w:bodyDiv w:val="1"/>
      <w:marLeft w:val="0"/>
      <w:marRight w:val="0"/>
      <w:marTop w:val="0"/>
      <w:marBottom w:val="0"/>
      <w:divBdr>
        <w:top w:val="none" w:sz="0" w:space="0" w:color="auto"/>
        <w:left w:val="none" w:sz="0" w:space="0" w:color="auto"/>
        <w:bottom w:val="none" w:sz="0" w:space="0" w:color="auto"/>
        <w:right w:val="none" w:sz="0" w:space="0" w:color="auto"/>
      </w:divBdr>
    </w:div>
    <w:div w:id="1989282032">
      <w:bodyDiv w:val="1"/>
      <w:marLeft w:val="0"/>
      <w:marRight w:val="0"/>
      <w:marTop w:val="0"/>
      <w:marBottom w:val="0"/>
      <w:divBdr>
        <w:top w:val="none" w:sz="0" w:space="0" w:color="auto"/>
        <w:left w:val="none" w:sz="0" w:space="0" w:color="auto"/>
        <w:bottom w:val="none" w:sz="0" w:space="0" w:color="auto"/>
        <w:right w:val="none" w:sz="0" w:space="0" w:color="auto"/>
      </w:divBdr>
    </w:div>
    <w:div w:id="1991329193">
      <w:bodyDiv w:val="1"/>
      <w:marLeft w:val="0"/>
      <w:marRight w:val="0"/>
      <w:marTop w:val="0"/>
      <w:marBottom w:val="0"/>
      <w:divBdr>
        <w:top w:val="none" w:sz="0" w:space="0" w:color="auto"/>
        <w:left w:val="none" w:sz="0" w:space="0" w:color="auto"/>
        <w:bottom w:val="none" w:sz="0" w:space="0" w:color="auto"/>
        <w:right w:val="none" w:sz="0" w:space="0" w:color="auto"/>
      </w:divBdr>
    </w:div>
    <w:div w:id="1991788840">
      <w:bodyDiv w:val="1"/>
      <w:marLeft w:val="0"/>
      <w:marRight w:val="0"/>
      <w:marTop w:val="0"/>
      <w:marBottom w:val="0"/>
      <w:divBdr>
        <w:top w:val="none" w:sz="0" w:space="0" w:color="auto"/>
        <w:left w:val="none" w:sz="0" w:space="0" w:color="auto"/>
        <w:bottom w:val="none" w:sz="0" w:space="0" w:color="auto"/>
        <w:right w:val="none" w:sz="0" w:space="0" w:color="auto"/>
      </w:divBdr>
    </w:div>
    <w:div w:id="1993942102">
      <w:bodyDiv w:val="1"/>
      <w:marLeft w:val="0"/>
      <w:marRight w:val="0"/>
      <w:marTop w:val="0"/>
      <w:marBottom w:val="0"/>
      <w:divBdr>
        <w:top w:val="none" w:sz="0" w:space="0" w:color="auto"/>
        <w:left w:val="none" w:sz="0" w:space="0" w:color="auto"/>
        <w:bottom w:val="none" w:sz="0" w:space="0" w:color="auto"/>
        <w:right w:val="none" w:sz="0" w:space="0" w:color="auto"/>
      </w:divBdr>
    </w:div>
    <w:div w:id="1994554662">
      <w:bodyDiv w:val="1"/>
      <w:marLeft w:val="0"/>
      <w:marRight w:val="0"/>
      <w:marTop w:val="0"/>
      <w:marBottom w:val="0"/>
      <w:divBdr>
        <w:top w:val="none" w:sz="0" w:space="0" w:color="auto"/>
        <w:left w:val="none" w:sz="0" w:space="0" w:color="auto"/>
        <w:bottom w:val="none" w:sz="0" w:space="0" w:color="auto"/>
        <w:right w:val="none" w:sz="0" w:space="0" w:color="auto"/>
      </w:divBdr>
    </w:div>
    <w:div w:id="1994869600">
      <w:bodyDiv w:val="1"/>
      <w:marLeft w:val="0"/>
      <w:marRight w:val="0"/>
      <w:marTop w:val="0"/>
      <w:marBottom w:val="0"/>
      <w:divBdr>
        <w:top w:val="none" w:sz="0" w:space="0" w:color="auto"/>
        <w:left w:val="none" w:sz="0" w:space="0" w:color="auto"/>
        <w:bottom w:val="none" w:sz="0" w:space="0" w:color="auto"/>
        <w:right w:val="none" w:sz="0" w:space="0" w:color="auto"/>
      </w:divBdr>
    </w:div>
    <w:div w:id="1996640967">
      <w:bodyDiv w:val="1"/>
      <w:marLeft w:val="0"/>
      <w:marRight w:val="0"/>
      <w:marTop w:val="0"/>
      <w:marBottom w:val="0"/>
      <w:divBdr>
        <w:top w:val="none" w:sz="0" w:space="0" w:color="auto"/>
        <w:left w:val="none" w:sz="0" w:space="0" w:color="auto"/>
        <w:bottom w:val="none" w:sz="0" w:space="0" w:color="auto"/>
        <w:right w:val="none" w:sz="0" w:space="0" w:color="auto"/>
      </w:divBdr>
    </w:div>
    <w:div w:id="1997998690">
      <w:bodyDiv w:val="1"/>
      <w:marLeft w:val="0"/>
      <w:marRight w:val="0"/>
      <w:marTop w:val="0"/>
      <w:marBottom w:val="0"/>
      <w:divBdr>
        <w:top w:val="none" w:sz="0" w:space="0" w:color="auto"/>
        <w:left w:val="none" w:sz="0" w:space="0" w:color="auto"/>
        <w:bottom w:val="none" w:sz="0" w:space="0" w:color="auto"/>
        <w:right w:val="none" w:sz="0" w:space="0" w:color="auto"/>
      </w:divBdr>
    </w:div>
    <w:div w:id="1998418091">
      <w:bodyDiv w:val="1"/>
      <w:marLeft w:val="0"/>
      <w:marRight w:val="0"/>
      <w:marTop w:val="0"/>
      <w:marBottom w:val="0"/>
      <w:divBdr>
        <w:top w:val="none" w:sz="0" w:space="0" w:color="auto"/>
        <w:left w:val="none" w:sz="0" w:space="0" w:color="auto"/>
        <w:bottom w:val="none" w:sz="0" w:space="0" w:color="auto"/>
        <w:right w:val="none" w:sz="0" w:space="0" w:color="auto"/>
      </w:divBdr>
    </w:div>
    <w:div w:id="2000304002">
      <w:bodyDiv w:val="1"/>
      <w:marLeft w:val="0"/>
      <w:marRight w:val="0"/>
      <w:marTop w:val="0"/>
      <w:marBottom w:val="0"/>
      <w:divBdr>
        <w:top w:val="none" w:sz="0" w:space="0" w:color="auto"/>
        <w:left w:val="none" w:sz="0" w:space="0" w:color="auto"/>
        <w:bottom w:val="none" w:sz="0" w:space="0" w:color="auto"/>
        <w:right w:val="none" w:sz="0" w:space="0" w:color="auto"/>
      </w:divBdr>
    </w:div>
    <w:div w:id="2001420955">
      <w:bodyDiv w:val="1"/>
      <w:marLeft w:val="0"/>
      <w:marRight w:val="0"/>
      <w:marTop w:val="0"/>
      <w:marBottom w:val="0"/>
      <w:divBdr>
        <w:top w:val="none" w:sz="0" w:space="0" w:color="auto"/>
        <w:left w:val="none" w:sz="0" w:space="0" w:color="auto"/>
        <w:bottom w:val="none" w:sz="0" w:space="0" w:color="auto"/>
        <w:right w:val="none" w:sz="0" w:space="0" w:color="auto"/>
      </w:divBdr>
    </w:div>
    <w:div w:id="2002923499">
      <w:bodyDiv w:val="1"/>
      <w:marLeft w:val="0"/>
      <w:marRight w:val="0"/>
      <w:marTop w:val="0"/>
      <w:marBottom w:val="0"/>
      <w:divBdr>
        <w:top w:val="none" w:sz="0" w:space="0" w:color="auto"/>
        <w:left w:val="none" w:sz="0" w:space="0" w:color="auto"/>
        <w:bottom w:val="none" w:sz="0" w:space="0" w:color="auto"/>
        <w:right w:val="none" w:sz="0" w:space="0" w:color="auto"/>
      </w:divBdr>
    </w:div>
    <w:div w:id="2004166322">
      <w:bodyDiv w:val="1"/>
      <w:marLeft w:val="0"/>
      <w:marRight w:val="0"/>
      <w:marTop w:val="0"/>
      <w:marBottom w:val="0"/>
      <w:divBdr>
        <w:top w:val="none" w:sz="0" w:space="0" w:color="auto"/>
        <w:left w:val="none" w:sz="0" w:space="0" w:color="auto"/>
        <w:bottom w:val="none" w:sz="0" w:space="0" w:color="auto"/>
        <w:right w:val="none" w:sz="0" w:space="0" w:color="auto"/>
      </w:divBdr>
    </w:div>
    <w:div w:id="2005742606">
      <w:bodyDiv w:val="1"/>
      <w:marLeft w:val="0"/>
      <w:marRight w:val="0"/>
      <w:marTop w:val="0"/>
      <w:marBottom w:val="0"/>
      <w:divBdr>
        <w:top w:val="none" w:sz="0" w:space="0" w:color="auto"/>
        <w:left w:val="none" w:sz="0" w:space="0" w:color="auto"/>
        <w:bottom w:val="none" w:sz="0" w:space="0" w:color="auto"/>
        <w:right w:val="none" w:sz="0" w:space="0" w:color="auto"/>
      </w:divBdr>
    </w:div>
    <w:div w:id="2006126204">
      <w:bodyDiv w:val="1"/>
      <w:marLeft w:val="0"/>
      <w:marRight w:val="0"/>
      <w:marTop w:val="0"/>
      <w:marBottom w:val="0"/>
      <w:divBdr>
        <w:top w:val="none" w:sz="0" w:space="0" w:color="auto"/>
        <w:left w:val="none" w:sz="0" w:space="0" w:color="auto"/>
        <w:bottom w:val="none" w:sz="0" w:space="0" w:color="auto"/>
        <w:right w:val="none" w:sz="0" w:space="0" w:color="auto"/>
      </w:divBdr>
    </w:div>
    <w:div w:id="2006322730">
      <w:bodyDiv w:val="1"/>
      <w:marLeft w:val="0"/>
      <w:marRight w:val="0"/>
      <w:marTop w:val="0"/>
      <w:marBottom w:val="0"/>
      <w:divBdr>
        <w:top w:val="none" w:sz="0" w:space="0" w:color="auto"/>
        <w:left w:val="none" w:sz="0" w:space="0" w:color="auto"/>
        <w:bottom w:val="none" w:sz="0" w:space="0" w:color="auto"/>
        <w:right w:val="none" w:sz="0" w:space="0" w:color="auto"/>
      </w:divBdr>
    </w:div>
    <w:div w:id="2006471356">
      <w:bodyDiv w:val="1"/>
      <w:marLeft w:val="0"/>
      <w:marRight w:val="0"/>
      <w:marTop w:val="0"/>
      <w:marBottom w:val="0"/>
      <w:divBdr>
        <w:top w:val="none" w:sz="0" w:space="0" w:color="auto"/>
        <w:left w:val="none" w:sz="0" w:space="0" w:color="auto"/>
        <w:bottom w:val="none" w:sz="0" w:space="0" w:color="auto"/>
        <w:right w:val="none" w:sz="0" w:space="0" w:color="auto"/>
      </w:divBdr>
    </w:div>
    <w:div w:id="2008744435">
      <w:bodyDiv w:val="1"/>
      <w:marLeft w:val="0"/>
      <w:marRight w:val="0"/>
      <w:marTop w:val="0"/>
      <w:marBottom w:val="0"/>
      <w:divBdr>
        <w:top w:val="none" w:sz="0" w:space="0" w:color="auto"/>
        <w:left w:val="none" w:sz="0" w:space="0" w:color="auto"/>
        <w:bottom w:val="none" w:sz="0" w:space="0" w:color="auto"/>
        <w:right w:val="none" w:sz="0" w:space="0" w:color="auto"/>
      </w:divBdr>
    </w:div>
    <w:div w:id="2009478004">
      <w:bodyDiv w:val="1"/>
      <w:marLeft w:val="0"/>
      <w:marRight w:val="0"/>
      <w:marTop w:val="0"/>
      <w:marBottom w:val="0"/>
      <w:divBdr>
        <w:top w:val="none" w:sz="0" w:space="0" w:color="auto"/>
        <w:left w:val="none" w:sz="0" w:space="0" w:color="auto"/>
        <w:bottom w:val="none" w:sz="0" w:space="0" w:color="auto"/>
        <w:right w:val="none" w:sz="0" w:space="0" w:color="auto"/>
      </w:divBdr>
    </w:div>
    <w:div w:id="2009749596">
      <w:bodyDiv w:val="1"/>
      <w:marLeft w:val="0"/>
      <w:marRight w:val="0"/>
      <w:marTop w:val="0"/>
      <w:marBottom w:val="0"/>
      <w:divBdr>
        <w:top w:val="none" w:sz="0" w:space="0" w:color="auto"/>
        <w:left w:val="none" w:sz="0" w:space="0" w:color="auto"/>
        <w:bottom w:val="none" w:sz="0" w:space="0" w:color="auto"/>
        <w:right w:val="none" w:sz="0" w:space="0" w:color="auto"/>
      </w:divBdr>
    </w:div>
    <w:div w:id="2009938349">
      <w:bodyDiv w:val="1"/>
      <w:marLeft w:val="0"/>
      <w:marRight w:val="0"/>
      <w:marTop w:val="0"/>
      <w:marBottom w:val="0"/>
      <w:divBdr>
        <w:top w:val="none" w:sz="0" w:space="0" w:color="auto"/>
        <w:left w:val="none" w:sz="0" w:space="0" w:color="auto"/>
        <w:bottom w:val="none" w:sz="0" w:space="0" w:color="auto"/>
        <w:right w:val="none" w:sz="0" w:space="0" w:color="auto"/>
      </w:divBdr>
    </w:div>
    <w:div w:id="2011176518">
      <w:bodyDiv w:val="1"/>
      <w:marLeft w:val="0"/>
      <w:marRight w:val="0"/>
      <w:marTop w:val="0"/>
      <w:marBottom w:val="0"/>
      <w:divBdr>
        <w:top w:val="none" w:sz="0" w:space="0" w:color="auto"/>
        <w:left w:val="none" w:sz="0" w:space="0" w:color="auto"/>
        <w:bottom w:val="none" w:sz="0" w:space="0" w:color="auto"/>
        <w:right w:val="none" w:sz="0" w:space="0" w:color="auto"/>
      </w:divBdr>
    </w:div>
    <w:div w:id="2012176281">
      <w:bodyDiv w:val="1"/>
      <w:marLeft w:val="0"/>
      <w:marRight w:val="0"/>
      <w:marTop w:val="0"/>
      <w:marBottom w:val="0"/>
      <w:divBdr>
        <w:top w:val="none" w:sz="0" w:space="0" w:color="auto"/>
        <w:left w:val="none" w:sz="0" w:space="0" w:color="auto"/>
        <w:bottom w:val="none" w:sz="0" w:space="0" w:color="auto"/>
        <w:right w:val="none" w:sz="0" w:space="0" w:color="auto"/>
      </w:divBdr>
    </w:div>
    <w:div w:id="2015454132">
      <w:bodyDiv w:val="1"/>
      <w:marLeft w:val="0"/>
      <w:marRight w:val="0"/>
      <w:marTop w:val="0"/>
      <w:marBottom w:val="0"/>
      <w:divBdr>
        <w:top w:val="none" w:sz="0" w:space="0" w:color="auto"/>
        <w:left w:val="none" w:sz="0" w:space="0" w:color="auto"/>
        <w:bottom w:val="none" w:sz="0" w:space="0" w:color="auto"/>
        <w:right w:val="none" w:sz="0" w:space="0" w:color="auto"/>
      </w:divBdr>
    </w:div>
    <w:div w:id="2015498562">
      <w:bodyDiv w:val="1"/>
      <w:marLeft w:val="0"/>
      <w:marRight w:val="0"/>
      <w:marTop w:val="0"/>
      <w:marBottom w:val="0"/>
      <w:divBdr>
        <w:top w:val="none" w:sz="0" w:space="0" w:color="auto"/>
        <w:left w:val="none" w:sz="0" w:space="0" w:color="auto"/>
        <w:bottom w:val="none" w:sz="0" w:space="0" w:color="auto"/>
        <w:right w:val="none" w:sz="0" w:space="0" w:color="auto"/>
      </w:divBdr>
    </w:div>
    <w:div w:id="2015566350">
      <w:bodyDiv w:val="1"/>
      <w:marLeft w:val="0"/>
      <w:marRight w:val="0"/>
      <w:marTop w:val="0"/>
      <w:marBottom w:val="0"/>
      <w:divBdr>
        <w:top w:val="none" w:sz="0" w:space="0" w:color="auto"/>
        <w:left w:val="none" w:sz="0" w:space="0" w:color="auto"/>
        <w:bottom w:val="none" w:sz="0" w:space="0" w:color="auto"/>
        <w:right w:val="none" w:sz="0" w:space="0" w:color="auto"/>
      </w:divBdr>
    </w:div>
    <w:div w:id="2017491963">
      <w:bodyDiv w:val="1"/>
      <w:marLeft w:val="0"/>
      <w:marRight w:val="0"/>
      <w:marTop w:val="0"/>
      <w:marBottom w:val="0"/>
      <w:divBdr>
        <w:top w:val="none" w:sz="0" w:space="0" w:color="auto"/>
        <w:left w:val="none" w:sz="0" w:space="0" w:color="auto"/>
        <w:bottom w:val="none" w:sz="0" w:space="0" w:color="auto"/>
        <w:right w:val="none" w:sz="0" w:space="0" w:color="auto"/>
      </w:divBdr>
    </w:div>
    <w:div w:id="2019188539">
      <w:bodyDiv w:val="1"/>
      <w:marLeft w:val="0"/>
      <w:marRight w:val="0"/>
      <w:marTop w:val="0"/>
      <w:marBottom w:val="0"/>
      <w:divBdr>
        <w:top w:val="none" w:sz="0" w:space="0" w:color="auto"/>
        <w:left w:val="none" w:sz="0" w:space="0" w:color="auto"/>
        <w:bottom w:val="none" w:sz="0" w:space="0" w:color="auto"/>
        <w:right w:val="none" w:sz="0" w:space="0" w:color="auto"/>
      </w:divBdr>
    </w:div>
    <w:div w:id="2019655236">
      <w:bodyDiv w:val="1"/>
      <w:marLeft w:val="0"/>
      <w:marRight w:val="0"/>
      <w:marTop w:val="0"/>
      <w:marBottom w:val="0"/>
      <w:divBdr>
        <w:top w:val="none" w:sz="0" w:space="0" w:color="auto"/>
        <w:left w:val="none" w:sz="0" w:space="0" w:color="auto"/>
        <w:bottom w:val="none" w:sz="0" w:space="0" w:color="auto"/>
        <w:right w:val="none" w:sz="0" w:space="0" w:color="auto"/>
      </w:divBdr>
    </w:div>
    <w:div w:id="2019843218">
      <w:bodyDiv w:val="1"/>
      <w:marLeft w:val="0"/>
      <w:marRight w:val="0"/>
      <w:marTop w:val="0"/>
      <w:marBottom w:val="0"/>
      <w:divBdr>
        <w:top w:val="none" w:sz="0" w:space="0" w:color="auto"/>
        <w:left w:val="none" w:sz="0" w:space="0" w:color="auto"/>
        <w:bottom w:val="none" w:sz="0" w:space="0" w:color="auto"/>
        <w:right w:val="none" w:sz="0" w:space="0" w:color="auto"/>
      </w:divBdr>
    </w:div>
    <w:div w:id="2021270309">
      <w:bodyDiv w:val="1"/>
      <w:marLeft w:val="0"/>
      <w:marRight w:val="0"/>
      <w:marTop w:val="0"/>
      <w:marBottom w:val="0"/>
      <w:divBdr>
        <w:top w:val="none" w:sz="0" w:space="0" w:color="auto"/>
        <w:left w:val="none" w:sz="0" w:space="0" w:color="auto"/>
        <w:bottom w:val="none" w:sz="0" w:space="0" w:color="auto"/>
        <w:right w:val="none" w:sz="0" w:space="0" w:color="auto"/>
      </w:divBdr>
    </w:div>
    <w:div w:id="2023048365">
      <w:bodyDiv w:val="1"/>
      <w:marLeft w:val="0"/>
      <w:marRight w:val="0"/>
      <w:marTop w:val="0"/>
      <w:marBottom w:val="0"/>
      <w:divBdr>
        <w:top w:val="none" w:sz="0" w:space="0" w:color="auto"/>
        <w:left w:val="none" w:sz="0" w:space="0" w:color="auto"/>
        <w:bottom w:val="none" w:sz="0" w:space="0" w:color="auto"/>
        <w:right w:val="none" w:sz="0" w:space="0" w:color="auto"/>
      </w:divBdr>
    </w:div>
    <w:div w:id="2026591041">
      <w:bodyDiv w:val="1"/>
      <w:marLeft w:val="0"/>
      <w:marRight w:val="0"/>
      <w:marTop w:val="0"/>
      <w:marBottom w:val="0"/>
      <w:divBdr>
        <w:top w:val="none" w:sz="0" w:space="0" w:color="auto"/>
        <w:left w:val="none" w:sz="0" w:space="0" w:color="auto"/>
        <w:bottom w:val="none" w:sz="0" w:space="0" w:color="auto"/>
        <w:right w:val="none" w:sz="0" w:space="0" w:color="auto"/>
      </w:divBdr>
    </w:div>
    <w:div w:id="2030334156">
      <w:bodyDiv w:val="1"/>
      <w:marLeft w:val="0"/>
      <w:marRight w:val="0"/>
      <w:marTop w:val="0"/>
      <w:marBottom w:val="0"/>
      <w:divBdr>
        <w:top w:val="none" w:sz="0" w:space="0" w:color="auto"/>
        <w:left w:val="none" w:sz="0" w:space="0" w:color="auto"/>
        <w:bottom w:val="none" w:sz="0" w:space="0" w:color="auto"/>
        <w:right w:val="none" w:sz="0" w:space="0" w:color="auto"/>
      </w:divBdr>
    </w:div>
    <w:div w:id="2033535422">
      <w:bodyDiv w:val="1"/>
      <w:marLeft w:val="0"/>
      <w:marRight w:val="0"/>
      <w:marTop w:val="0"/>
      <w:marBottom w:val="0"/>
      <w:divBdr>
        <w:top w:val="none" w:sz="0" w:space="0" w:color="auto"/>
        <w:left w:val="none" w:sz="0" w:space="0" w:color="auto"/>
        <w:bottom w:val="none" w:sz="0" w:space="0" w:color="auto"/>
        <w:right w:val="none" w:sz="0" w:space="0" w:color="auto"/>
      </w:divBdr>
    </w:div>
    <w:div w:id="2033603668">
      <w:bodyDiv w:val="1"/>
      <w:marLeft w:val="0"/>
      <w:marRight w:val="0"/>
      <w:marTop w:val="0"/>
      <w:marBottom w:val="0"/>
      <w:divBdr>
        <w:top w:val="none" w:sz="0" w:space="0" w:color="auto"/>
        <w:left w:val="none" w:sz="0" w:space="0" w:color="auto"/>
        <w:bottom w:val="none" w:sz="0" w:space="0" w:color="auto"/>
        <w:right w:val="none" w:sz="0" w:space="0" w:color="auto"/>
      </w:divBdr>
    </w:div>
    <w:div w:id="2037805861">
      <w:bodyDiv w:val="1"/>
      <w:marLeft w:val="0"/>
      <w:marRight w:val="0"/>
      <w:marTop w:val="0"/>
      <w:marBottom w:val="0"/>
      <w:divBdr>
        <w:top w:val="none" w:sz="0" w:space="0" w:color="auto"/>
        <w:left w:val="none" w:sz="0" w:space="0" w:color="auto"/>
        <w:bottom w:val="none" w:sz="0" w:space="0" w:color="auto"/>
        <w:right w:val="none" w:sz="0" w:space="0" w:color="auto"/>
      </w:divBdr>
    </w:div>
    <w:div w:id="2039155517">
      <w:bodyDiv w:val="1"/>
      <w:marLeft w:val="0"/>
      <w:marRight w:val="0"/>
      <w:marTop w:val="0"/>
      <w:marBottom w:val="0"/>
      <w:divBdr>
        <w:top w:val="none" w:sz="0" w:space="0" w:color="auto"/>
        <w:left w:val="none" w:sz="0" w:space="0" w:color="auto"/>
        <w:bottom w:val="none" w:sz="0" w:space="0" w:color="auto"/>
        <w:right w:val="none" w:sz="0" w:space="0" w:color="auto"/>
      </w:divBdr>
    </w:div>
    <w:div w:id="2040935405">
      <w:bodyDiv w:val="1"/>
      <w:marLeft w:val="0"/>
      <w:marRight w:val="0"/>
      <w:marTop w:val="0"/>
      <w:marBottom w:val="0"/>
      <w:divBdr>
        <w:top w:val="none" w:sz="0" w:space="0" w:color="auto"/>
        <w:left w:val="none" w:sz="0" w:space="0" w:color="auto"/>
        <w:bottom w:val="none" w:sz="0" w:space="0" w:color="auto"/>
        <w:right w:val="none" w:sz="0" w:space="0" w:color="auto"/>
      </w:divBdr>
    </w:div>
    <w:div w:id="2041978058">
      <w:bodyDiv w:val="1"/>
      <w:marLeft w:val="0"/>
      <w:marRight w:val="0"/>
      <w:marTop w:val="0"/>
      <w:marBottom w:val="0"/>
      <w:divBdr>
        <w:top w:val="none" w:sz="0" w:space="0" w:color="auto"/>
        <w:left w:val="none" w:sz="0" w:space="0" w:color="auto"/>
        <w:bottom w:val="none" w:sz="0" w:space="0" w:color="auto"/>
        <w:right w:val="none" w:sz="0" w:space="0" w:color="auto"/>
      </w:divBdr>
    </w:div>
    <w:div w:id="2042776518">
      <w:bodyDiv w:val="1"/>
      <w:marLeft w:val="0"/>
      <w:marRight w:val="0"/>
      <w:marTop w:val="0"/>
      <w:marBottom w:val="0"/>
      <w:divBdr>
        <w:top w:val="none" w:sz="0" w:space="0" w:color="auto"/>
        <w:left w:val="none" w:sz="0" w:space="0" w:color="auto"/>
        <w:bottom w:val="none" w:sz="0" w:space="0" w:color="auto"/>
        <w:right w:val="none" w:sz="0" w:space="0" w:color="auto"/>
      </w:divBdr>
    </w:div>
    <w:div w:id="2043899900">
      <w:bodyDiv w:val="1"/>
      <w:marLeft w:val="0"/>
      <w:marRight w:val="0"/>
      <w:marTop w:val="0"/>
      <w:marBottom w:val="0"/>
      <w:divBdr>
        <w:top w:val="none" w:sz="0" w:space="0" w:color="auto"/>
        <w:left w:val="none" w:sz="0" w:space="0" w:color="auto"/>
        <w:bottom w:val="none" w:sz="0" w:space="0" w:color="auto"/>
        <w:right w:val="none" w:sz="0" w:space="0" w:color="auto"/>
      </w:divBdr>
    </w:div>
    <w:div w:id="2044285985">
      <w:bodyDiv w:val="1"/>
      <w:marLeft w:val="0"/>
      <w:marRight w:val="0"/>
      <w:marTop w:val="0"/>
      <w:marBottom w:val="0"/>
      <w:divBdr>
        <w:top w:val="none" w:sz="0" w:space="0" w:color="auto"/>
        <w:left w:val="none" w:sz="0" w:space="0" w:color="auto"/>
        <w:bottom w:val="none" w:sz="0" w:space="0" w:color="auto"/>
        <w:right w:val="none" w:sz="0" w:space="0" w:color="auto"/>
      </w:divBdr>
    </w:div>
    <w:div w:id="2047364047">
      <w:bodyDiv w:val="1"/>
      <w:marLeft w:val="0"/>
      <w:marRight w:val="0"/>
      <w:marTop w:val="0"/>
      <w:marBottom w:val="0"/>
      <w:divBdr>
        <w:top w:val="none" w:sz="0" w:space="0" w:color="auto"/>
        <w:left w:val="none" w:sz="0" w:space="0" w:color="auto"/>
        <w:bottom w:val="none" w:sz="0" w:space="0" w:color="auto"/>
        <w:right w:val="none" w:sz="0" w:space="0" w:color="auto"/>
      </w:divBdr>
    </w:div>
    <w:div w:id="2047675798">
      <w:bodyDiv w:val="1"/>
      <w:marLeft w:val="0"/>
      <w:marRight w:val="0"/>
      <w:marTop w:val="0"/>
      <w:marBottom w:val="0"/>
      <w:divBdr>
        <w:top w:val="none" w:sz="0" w:space="0" w:color="auto"/>
        <w:left w:val="none" w:sz="0" w:space="0" w:color="auto"/>
        <w:bottom w:val="none" w:sz="0" w:space="0" w:color="auto"/>
        <w:right w:val="none" w:sz="0" w:space="0" w:color="auto"/>
      </w:divBdr>
    </w:div>
    <w:div w:id="2050757292">
      <w:bodyDiv w:val="1"/>
      <w:marLeft w:val="0"/>
      <w:marRight w:val="0"/>
      <w:marTop w:val="0"/>
      <w:marBottom w:val="0"/>
      <w:divBdr>
        <w:top w:val="none" w:sz="0" w:space="0" w:color="auto"/>
        <w:left w:val="none" w:sz="0" w:space="0" w:color="auto"/>
        <w:bottom w:val="none" w:sz="0" w:space="0" w:color="auto"/>
        <w:right w:val="none" w:sz="0" w:space="0" w:color="auto"/>
      </w:divBdr>
    </w:div>
    <w:div w:id="2052418973">
      <w:bodyDiv w:val="1"/>
      <w:marLeft w:val="0"/>
      <w:marRight w:val="0"/>
      <w:marTop w:val="0"/>
      <w:marBottom w:val="0"/>
      <w:divBdr>
        <w:top w:val="none" w:sz="0" w:space="0" w:color="auto"/>
        <w:left w:val="none" w:sz="0" w:space="0" w:color="auto"/>
        <w:bottom w:val="none" w:sz="0" w:space="0" w:color="auto"/>
        <w:right w:val="none" w:sz="0" w:space="0" w:color="auto"/>
      </w:divBdr>
    </w:div>
    <w:div w:id="2052607964">
      <w:bodyDiv w:val="1"/>
      <w:marLeft w:val="0"/>
      <w:marRight w:val="0"/>
      <w:marTop w:val="0"/>
      <w:marBottom w:val="0"/>
      <w:divBdr>
        <w:top w:val="none" w:sz="0" w:space="0" w:color="auto"/>
        <w:left w:val="none" w:sz="0" w:space="0" w:color="auto"/>
        <w:bottom w:val="none" w:sz="0" w:space="0" w:color="auto"/>
        <w:right w:val="none" w:sz="0" w:space="0" w:color="auto"/>
      </w:divBdr>
    </w:div>
    <w:div w:id="2053921269">
      <w:bodyDiv w:val="1"/>
      <w:marLeft w:val="0"/>
      <w:marRight w:val="0"/>
      <w:marTop w:val="0"/>
      <w:marBottom w:val="0"/>
      <w:divBdr>
        <w:top w:val="none" w:sz="0" w:space="0" w:color="auto"/>
        <w:left w:val="none" w:sz="0" w:space="0" w:color="auto"/>
        <w:bottom w:val="none" w:sz="0" w:space="0" w:color="auto"/>
        <w:right w:val="none" w:sz="0" w:space="0" w:color="auto"/>
      </w:divBdr>
    </w:div>
    <w:div w:id="2055805694">
      <w:bodyDiv w:val="1"/>
      <w:marLeft w:val="0"/>
      <w:marRight w:val="0"/>
      <w:marTop w:val="0"/>
      <w:marBottom w:val="0"/>
      <w:divBdr>
        <w:top w:val="none" w:sz="0" w:space="0" w:color="auto"/>
        <w:left w:val="none" w:sz="0" w:space="0" w:color="auto"/>
        <w:bottom w:val="none" w:sz="0" w:space="0" w:color="auto"/>
        <w:right w:val="none" w:sz="0" w:space="0" w:color="auto"/>
      </w:divBdr>
    </w:div>
    <w:div w:id="2055959770">
      <w:bodyDiv w:val="1"/>
      <w:marLeft w:val="0"/>
      <w:marRight w:val="0"/>
      <w:marTop w:val="0"/>
      <w:marBottom w:val="0"/>
      <w:divBdr>
        <w:top w:val="none" w:sz="0" w:space="0" w:color="auto"/>
        <w:left w:val="none" w:sz="0" w:space="0" w:color="auto"/>
        <w:bottom w:val="none" w:sz="0" w:space="0" w:color="auto"/>
        <w:right w:val="none" w:sz="0" w:space="0" w:color="auto"/>
      </w:divBdr>
    </w:div>
    <w:div w:id="2056350581">
      <w:bodyDiv w:val="1"/>
      <w:marLeft w:val="0"/>
      <w:marRight w:val="0"/>
      <w:marTop w:val="0"/>
      <w:marBottom w:val="0"/>
      <w:divBdr>
        <w:top w:val="none" w:sz="0" w:space="0" w:color="auto"/>
        <w:left w:val="none" w:sz="0" w:space="0" w:color="auto"/>
        <w:bottom w:val="none" w:sz="0" w:space="0" w:color="auto"/>
        <w:right w:val="none" w:sz="0" w:space="0" w:color="auto"/>
      </w:divBdr>
    </w:div>
    <w:div w:id="2058891306">
      <w:bodyDiv w:val="1"/>
      <w:marLeft w:val="0"/>
      <w:marRight w:val="0"/>
      <w:marTop w:val="0"/>
      <w:marBottom w:val="0"/>
      <w:divBdr>
        <w:top w:val="none" w:sz="0" w:space="0" w:color="auto"/>
        <w:left w:val="none" w:sz="0" w:space="0" w:color="auto"/>
        <w:bottom w:val="none" w:sz="0" w:space="0" w:color="auto"/>
        <w:right w:val="none" w:sz="0" w:space="0" w:color="auto"/>
      </w:divBdr>
    </w:div>
    <w:div w:id="2059477036">
      <w:bodyDiv w:val="1"/>
      <w:marLeft w:val="0"/>
      <w:marRight w:val="0"/>
      <w:marTop w:val="0"/>
      <w:marBottom w:val="0"/>
      <w:divBdr>
        <w:top w:val="none" w:sz="0" w:space="0" w:color="auto"/>
        <w:left w:val="none" w:sz="0" w:space="0" w:color="auto"/>
        <w:bottom w:val="none" w:sz="0" w:space="0" w:color="auto"/>
        <w:right w:val="none" w:sz="0" w:space="0" w:color="auto"/>
      </w:divBdr>
    </w:div>
    <w:div w:id="2064329633">
      <w:bodyDiv w:val="1"/>
      <w:marLeft w:val="0"/>
      <w:marRight w:val="0"/>
      <w:marTop w:val="0"/>
      <w:marBottom w:val="0"/>
      <w:divBdr>
        <w:top w:val="none" w:sz="0" w:space="0" w:color="auto"/>
        <w:left w:val="none" w:sz="0" w:space="0" w:color="auto"/>
        <w:bottom w:val="none" w:sz="0" w:space="0" w:color="auto"/>
        <w:right w:val="none" w:sz="0" w:space="0" w:color="auto"/>
      </w:divBdr>
    </w:div>
    <w:div w:id="2065593062">
      <w:bodyDiv w:val="1"/>
      <w:marLeft w:val="0"/>
      <w:marRight w:val="0"/>
      <w:marTop w:val="0"/>
      <w:marBottom w:val="0"/>
      <w:divBdr>
        <w:top w:val="none" w:sz="0" w:space="0" w:color="auto"/>
        <w:left w:val="none" w:sz="0" w:space="0" w:color="auto"/>
        <w:bottom w:val="none" w:sz="0" w:space="0" w:color="auto"/>
        <w:right w:val="none" w:sz="0" w:space="0" w:color="auto"/>
      </w:divBdr>
    </w:div>
    <w:div w:id="2067949549">
      <w:bodyDiv w:val="1"/>
      <w:marLeft w:val="0"/>
      <w:marRight w:val="0"/>
      <w:marTop w:val="0"/>
      <w:marBottom w:val="0"/>
      <w:divBdr>
        <w:top w:val="none" w:sz="0" w:space="0" w:color="auto"/>
        <w:left w:val="none" w:sz="0" w:space="0" w:color="auto"/>
        <w:bottom w:val="none" w:sz="0" w:space="0" w:color="auto"/>
        <w:right w:val="none" w:sz="0" w:space="0" w:color="auto"/>
      </w:divBdr>
    </w:div>
    <w:div w:id="2067991316">
      <w:bodyDiv w:val="1"/>
      <w:marLeft w:val="0"/>
      <w:marRight w:val="0"/>
      <w:marTop w:val="0"/>
      <w:marBottom w:val="0"/>
      <w:divBdr>
        <w:top w:val="none" w:sz="0" w:space="0" w:color="auto"/>
        <w:left w:val="none" w:sz="0" w:space="0" w:color="auto"/>
        <w:bottom w:val="none" w:sz="0" w:space="0" w:color="auto"/>
        <w:right w:val="none" w:sz="0" w:space="0" w:color="auto"/>
      </w:divBdr>
    </w:div>
    <w:div w:id="2068140677">
      <w:bodyDiv w:val="1"/>
      <w:marLeft w:val="0"/>
      <w:marRight w:val="0"/>
      <w:marTop w:val="0"/>
      <w:marBottom w:val="0"/>
      <w:divBdr>
        <w:top w:val="none" w:sz="0" w:space="0" w:color="auto"/>
        <w:left w:val="none" w:sz="0" w:space="0" w:color="auto"/>
        <w:bottom w:val="none" w:sz="0" w:space="0" w:color="auto"/>
        <w:right w:val="none" w:sz="0" w:space="0" w:color="auto"/>
      </w:divBdr>
    </w:div>
    <w:div w:id="2068265097">
      <w:bodyDiv w:val="1"/>
      <w:marLeft w:val="0"/>
      <w:marRight w:val="0"/>
      <w:marTop w:val="0"/>
      <w:marBottom w:val="0"/>
      <w:divBdr>
        <w:top w:val="none" w:sz="0" w:space="0" w:color="auto"/>
        <w:left w:val="none" w:sz="0" w:space="0" w:color="auto"/>
        <w:bottom w:val="none" w:sz="0" w:space="0" w:color="auto"/>
        <w:right w:val="none" w:sz="0" w:space="0" w:color="auto"/>
      </w:divBdr>
    </w:div>
    <w:div w:id="2073917766">
      <w:bodyDiv w:val="1"/>
      <w:marLeft w:val="0"/>
      <w:marRight w:val="0"/>
      <w:marTop w:val="0"/>
      <w:marBottom w:val="0"/>
      <w:divBdr>
        <w:top w:val="none" w:sz="0" w:space="0" w:color="auto"/>
        <w:left w:val="none" w:sz="0" w:space="0" w:color="auto"/>
        <w:bottom w:val="none" w:sz="0" w:space="0" w:color="auto"/>
        <w:right w:val="none" w:sz="0" w:space="0" w:color="auto"/>
      </w:divBdr>
    </w:div>
    <w:div w:id="2074891168">
      <w:bodyDiv w:val="1"/>
      <w:marLeft w:val="0"/>
      <w:marRight w:val="0"/>
      <w:marTop w:val="0"/>
      <w:marBottom w:val="0"/>
      <w:divBdr>
        <w:top w:val="none" w:sz="0" w:space="0" w:color="auto"/>
        <w:left w:val="none" w:sz="0" w:space="0" w:color="auto"/>
        <w:bottom w:val="none" w:sz="0" w:space="0" w:color="auto"/>
        <w:right w:val="none" w:sz="0" w:space="0" w:color="auto"/>
      </w:divBdr>
    </w:div>
    <w:div w:id="2079865254">
      <w:bodyDiv w:val="1"/>
      <w:marLeft w:val="0"/>
      <w:marRight w:val="0"/>
      <w:marTop w:val="0"/>
      <w:marBottom w:val="0"/>
      <w:divBdr>
        <w:top w:val="none" w:sz="0" w:space="0" w:color="auto"/>
        <w:left w:val="none" w:sz="0" w:space="0" w:color="auto"/>
        <w:bottom w:val="none" w:sz="0" w:space="0" w:color="auto"/>
        <w:right w:val="none" w:sz="0" w:space="0" w:color="auto"/>
      </w:divBdr>
    </w:div>
    <w:div w:id="2087339524">
      <w:bodyDiv w:val="1"/>
      <w:marLeft w:val="0"/>
      <w:marRight w:val="0"/>
      <w:marTop w:val="0"/>
      <w:marBottom w:val="0"/>
      <w:divBdr>
        <w:top w:val="none" w:sz="0" w:space="0" w:color="auto"/>
        <w:left w:val="none" w:sz="0" w:space="0" w:color="auto"/>
        <w:bottom w:val="none" w:sz="0" w:space="0" w:color="auto"/>
        <w:right w:val="none" w:sz="0" w:space="0" w:color="auto"/>
      </w:divBdr>
    </w:div>
    <w:div w:id="2088265177">
      <w:bodyDiv w:val="1"/>
      <w:marLeft w:val="0"/>
      <w:marRight w:val="0"/>
      <w:marTop w:val="0"/>
      <w:marBottom w:val="0"/>
      <w:divBdr>
        <w:top w:val="none" w:sz="0" w:space="0" w:color="auto"/>
        <w:left w:val="none" w:sz="0" w:space="0" w:color="auto"/>
        <w:bottom w:val="none" w:sz="0" w:space="0" w:color="auto"/>
        <w:right w:val="none" w:sz="0" w:space="0" w:color="auto"/>
      </w:divBdr>
    </w:div>
    <w:div w:id="2097821055">
      <w:bodyDiv w:val="1"/>
      <w:marLeft w:val="0"/>
      <w:marRight w:val="0"/>
      <w:marTop w:val="0"/>
      <w:marBottom w:val="0"/>
      <w:divBdr>
        <w:top w:val="none" w:sz="0" w:space="0" w:color="auto"/>
        <w:left w:val="none" w:sz="0" w:space="0" w:color="auto"/>
        <w:bottom w:val="none" w:sz="0" w:space="0" w:color="auto"/>
        <w:right w:val="none" w:sz="0" w:space="0" w:color="auto"/>
      </w:divBdr>
    </w:div>
    <w:div w:id="2099054515">
      <w:bodyDiv w:val="1"/>
      <w:marLeft w:val="0"/>
      <w:marRight w:val="0"/>
      <w:marTop w:val="0"/>
      <w:marBottom w:val="0"/>
      <w:divBdr>
        <w:top w:val="none" w:sz="0" w:space="0" w:color="auto"/>
        <w:left w:val="none" w:sz="0" w:space="0" w:color="auto"/>
        <w:bottom w:val="none" w:sz="0" w:space="0" w:color="auto"/>
        <w:right w:val="none" w:sz="0" w:space="0" w:color="auto"/>
      </w:divBdr>
    </w:div>
    <w:div w:id="2101676943">
      <w:bodyDiv w:val="1"/>
      <w:marLeft w:val="0"/>
      <w:marRight w:val="0"/>
      <w:marTop w:val="0"/>
      <w:marBottom w:val="0"/>
      <w:divBdr>
        <w:top w:val="none" w:sz="0" w:space="0" w:color="auto"/>
        <w:left w:val="none" w:sz="0" w:space="0" w:color="auto"/>
        <w:bottom w:val="none" w:sz="0" w:space="0" w:color="auto"/>
        <w:right w:val="none" w:sz="0" w:space="0" w:color="auto"/>
      </w:divBdr>
    </w:div>
    <w:div w:id="2102409750">
      <w:bodyDiv w:val="1"/>
      <w:marLeft w:val="0"/>
      <w:marRight w:val="0"/>
      <w:marTop w:val="0"/>
      <w:marBottom w:val="0"/>
      <w:divBdr>
        <w:top w:val="none" w:sz="0" w:space="0" w:color="auto"/>
        <w:left w:val="none" w:sz="0" w:space="0" w:color="auto"/>
        <w:bottom w:val="none" w:sz="0" w:space="0" w:color="auto"/>
        <w:right w:val="none" w:sz="0" w:space="0" w:color="auto"/>
      </w:divBdr>
    </w:div>
    <w:div w:id="2102796420">
      <w:bodyDiv w:val="1"/>
      <w:marLeft w:val="0"/>
      <w:marRight w:val="0"/>
      <w:marTop w:val="0"/>
      <w:marBottom w:val="0"/>
      <w:divBdr>
        <w:top w:val="none" w:sz="0" w:space="0" w:color="auto"/>
        <w:left w:val="none" w:sz="0" w:space="0" w:color="auto"/>
        <w:bottom w:val="none" w:sz="0" w:space="0" w:color="auto"/>
        <w:right w:val="none" w:sz="0" w:space="0" w:color="auto"/>
      </w:divBdr>
    </w:div>
    <w:div w:id="2104497714">
      <w:bodyDiv w:val="1"/>
      <w:marLeft w:val="0"/>
      <w:marRight w:val="0"/>
      <w:marTop w:val="0"/>
      <w:marBottom w:val="0"/>
      <w:divBdr>
        <w:top w:val="none" w:sz="0" w:space="0" w:color="auto"/>
        <w:left w:val="none" w:sz="0" w:space="0" w:color="auto"/>
        <w:bottom w:val="none" w:sz="0" w:space="0" w:color="auto"/>
        <w:right w:val="none" w:sz="0" w:space="0" w:color="auto"/>
      </w:divBdr>
    </w:div>
    <w:div w:id="2105110644">
      <w:bodyDiv w:val="1"/>
      <w:marLeft w:val="0"/>
      <w:marRight w:val="0"/>
      <w:marTop w:val="0"/>
      <w:marBottom w:val="0"/>
      <w:divBdr>
        <w:top w:val="none" w:sz="0" w:space="0" w:color="auto"/>
        <w:left w:val="none" w:sz="0" w:space="0" w:color="auto"/>
        <w:bottom w:val="none" w:sz="0" w:space="0" w:color="auto"/>
        <w:right w:val="none" w:sz="0" w:space="0" w:color="auto"/>
      </w:divBdr>
    </w:div>
    <w:div w:id="2110855493">
      <w:bodyDiv w:val="1"/>
      <w:marLeft w:val="0"/>
      <w:marRight w:val="0"/>
      <w:marTop w:val="0"/>
      <w:marBottom w:val="0"/>
      <w:divBdr>
        <w:top w:val="none" w:sz="0" w:space="0" w:color="auto"/>
        <w:left w:val="none" w:sz="0" w:space="0" w:color="auto"/>
        <w:bottom w:val="none" w:sz="0" w:space="0" w:color="auto"/>
        <w:right w:val="none" w:sz="0" w:space="0" w:color="auto"/>
      </w:divBdr>
      <w:divsChild>
        <w:div w:id="635720253">
          <w:marLeft w:val="547"/>
          <w:marRight w:val="0"/>
          <w:marTop w:val="0"/>
          <w:marBottom w:val="0"/>
          <w:divBdr>
            <w:top w:val="none" w:sz="0" w:space="0" w:color="auto"/>
            <w:left w:val="none" w:sz="0" w:space="0" w:color="auto"/>
            <w:bottom w:val="none" w:sz="0" w:space="0" w:color="auto"/>
            <w:right w:val="none" w:sz="0" w:space="0" w:color="auto"/>
          </w:divBdr>
        </w:div>
      </w:divsChild>
    </w:div>
    <w:div w:id="2111779468">
      <w:bodyDiv w:val="1"/>
      <w:marLeft w:val="0"/>
      <w:marRight w:val="0"/>
      <w:marTop w:val="0"/>
      <w:marBottom w:val="0"/>
      <w:divBdr>
        <w:top w:val="none" w:sz="0" w:space="0" w:color="auto"/>
        <w:left w:val="none" w:sz="0" w:space="0" w:color="auto"/>
        <w:bottom w:val="none" w:sz="0" w:space="0" w:color="auto"/>
        <w:right w:val="none" w:sz="0" w:space="0" w:color="auto"/>
      </w:divBdr>
    </w:div>
    <w:div w:id="2113162079">
      <w:bodyDiv w:val="1"/>
      <w:marLeft w:val="0"/>
      <w:marRight w:val="0"/>
      <w:marTop w:val="0"/>
      <w:marBottom w:val="0"/>
      <w:divBdr>
        <w:top w:val="none" w:sz="0" w:space="0" w:color="auto"/>
        <w:left w:val="none" w:sz="0" w:space="0" w:color="auto"/>
        <w:bottom w:val="none" w:sz="0" w:space="0" w:color="auto"/>
        <w:right w:val="none" w:sz="0" w:space="0" w:color="auto"/>
      </w:divBdr>
    </w:div>
    <w:div w:id="2113209624">
      <w:bodyDiv w:val="1"/>
      <w:marLeft w:val="0"/>
      <w:marRight w:val="0"/>
      <w:marTop w:val="0"/>
      <w:marBottom w:val="0"/>
      <w:divBdr>
        <w:top w:val="none" w:sz="0" w:space="0" w:color="auto"/>
        <w:left w:val="none" w:sz="0" w:space="0" w:color="auto"/>
        <w:bottom w:val="none" w:sz="0" w:space="0" w:color="auto"/>
        <w:right w:val="none" w:sz="0" w:space="0" w:color="auto"/>
      </w:divBdr>
    </w:div>
    <w:div w:id="2114351339">
      <w:bodyDiv w:val="1"/>
      <w:marLeft w:val="0"/>
      <w:marRight w:val="0"/>
      <w:marTop w:val="0"/>
      <w:marBottom w:val="0"/>
      <w:divBdr>
        <w:top w:val="none" w:sz="0" w:space="0" w:color="auto"/>
        <w:left w:val="none" w:sz="0" w:space="0" w:color="auto"/>
        <w:bottom w:val="none" w:sz="0" w:space="0" w:color="auto"/>
        <w:right w:val="none" w:sz="0" w:space="0" w:color="auto"/>
      </w:divBdr>
    </w:div>
    <w:div w:id="2117628869">
      <w:bodyDiv w:val="1"/>
      <w:marLeft w:val="0"/>
      <w:marRight w:val="0"/>
      <w:marTop w:val="0"/>
      <w:marBottom w:val="0"/>
      <w:divBdr>
        <w:top w:val="none" w:sz="0" w:space="0" w:color="auto"/>
        <w:left w:val="none" w:sz="0" w:space="0" w:color="auto"/>
        <w:bottom w:val="none" w:sz="0" w:space="0" w:color="auto"/>
        <w:right w:val="none" w:sz="0" w:space="0" w:color="auto"/>
      </w:divBdr>
    </w:div>
    <w:div w:id="2118519250">
      <w:bodyDiv w:val="1"/>
      <w:marLeft w:val="0"/>
      <w:marRight w:val="0"/>
      <w:marTop w:val="0"/>
      <w:marBottom w:val="0"/>
      <w:divBdr>
        <w:top w:val="none" w:sz="0" w:space="0" w:color="auto"/>
        <w:left w:val="none" w:sz="0" w:space="0" w:color="auto"/>
        <w:bottom w:val="none" w:sz="0" w:space="0" w:color="auto"/>
        <w:right w:val="none" w:sz="0" w:space="0" w:color="auto"/>
      </w:divBdr>
      <w:divsChild>
        <w:div w:id="1234857007">
          <w:marLeft w:val="547"/>
          <w:marRight w:val="0"/>
          <w:marTop w:val="0"/>
          <w:marBottom w:val="0"/>
          <w:divBdr>
            <w:top w:val="none" w:sz="0" w:space="0" w:color="auto"/>
            <w:left w:val="none" w:sz="0" w:space="0" w:color="auto"/>
            <w:bottom w:val="none" w:sz="0" w:space="0" w:color="auto"/>
            <w:right w:val="none" w:sz="0" w:space="0" w:color="auto"/>
          </w:divBdr>
        </w:div>
      </w:divsChild>
    </w:div>
    <w:div w:id="2119836577">
      <w:bodyDiv w:val="1"/>
      <w:marLeft w:val="0"/>
      <w:marRight w:val="0"/>
      <w:marTop w:val="0"/>
      <w:marBottom w:val="0"/>
      <w:divBdr>
        <w:top w:val="none" w:sz="0" w:space="0" w:color="auto"/>
        <w:left w:val="none" w:sz="0" w:space="0" w:color="auto"/>
        <w:bottom w:val="none" w:sz="0" w:space="0" w:color="auto"/>
        <w:right w:val="none" w:sz="0" w:space="0" w:color="auto"/>
      </w:divBdr>
    </w:div>
    <w:div w:id="2121758804">
      <w:bodyDiv w:val="1"/>
      <w:marLeft w:val="0"/>
      <w:marRight w:val="0"/>
      <w:marTop w:val="0"/>
      <w:marBottom w:val="0"/>
      <w:divBdr>
        <w:top w:val="none" w:sz="0" w:space="0" w:color="auto"/>
        <w:left w:val="none" w:sz="0" w:space="0" w:color="auto"/>
        <w:bottom w:val="none" w:sz="0" w:space="0" w:color="auto"/>
        <w:right w:val="none" w:sz="0" w:space="0" w:color="auto"/>
      </w:divBdr>
    </w:div>
    <w:div w:id="2123530153">
      <w:bodyDiv w:val="1"/>
      <w:marLeft w:val="0"/>
      <w:marRight w:val="0"/>
      <w:marTop w:val="0"/>
      <w:marBottom w:val="0"/>
      <w:divBdr>
        <w:top w:val="none" w:sz="0" w:space="0" w:color="auto"/>
        <w:left w:val="none" w:sz="0" w:space="0" w:color="auto"/>
        <w:bottom w:val="none" w:sz="0" w:space="0" w:color="auto"/>
        <w:right w:val="none" w:sz="0" w:space="0" w:color="auto"/>
      </w:divBdr>
    </w:div>
    <w:div w:id="2125150891">
      <w:bodyDiv w:val="1"/>
      <w:marLeft w:val="0"/>
      <w:marRight w:val="0"/>
      <w:marTop w:val="0"/>
      <w:marBottom w:val="0"/>
      <w:divBdr>
        <w:top w:val="none" w:sz="0" w:space="0" w:color="auto"/>
        <w:left w:val="none" w:sz="0" w:space="0" w:color="auto"/>
        <w:bottom w:val="none" w:sz="0" w:space="0" w:color="auto"/>
        <w:right w:val="none" w:sz="0" w:space="0" w:color="auto"/>
      </w:divBdr>
    </w:div>
    <w:div w:id="2125493381">
      <w:bodyDiv w:val="1"/>
      <w:marLeft w:val="0"/>
      <w:marRight w:val="0"/>
      <w:marTop w:val="0"/>
      <w:marBottom w:val="0"/>
      <w:divBdr>
        <w:top w:val="none" w:sz="0" w:space="0" w:color="auto"/>
        <w:left w:val="none" w:sz="0" w:space="0" w:color="auto"/>
        <w:bottom w:val="none" w:sz="0" w:space="0" w:color="auto"/>
        <w:right w:val="none" w:sz="0" w:space="0" w:color="auto"/>
      </w:divBdr>
    </w:div>
    <w:div w:id="2126146477">
      <w:bodyDiv w:val="1"/>
      <w:marLeft w:val="0"/>
      <w:marRight w:val="0"/>
      <w:marTop w:val="0"/>
      <w:marBottom w:val="0"/>
      <w:divBdr>
        <w:top w:val="none" w:sz="0" w:space="0" w:color="auto"/>
        <w:left w:val="none" w:sz="0" w:space="0" w:color="auto"/>
        <w:bottom w:val="none" w:sz="0" w:space="0" w:color="auto"/>
        <w:right w:val="none" w:sz="0" w:space="0" w:color="auto"/>
      </w:divBdr>
    </w:div>
    <w:div w:id="2128037197">
      <w:bodyDiv w:val="1"/>
      <w:marLeft w:val="0"/>
      <w:marRight w:val="0"/>
      <w:marTop w:val="0"/>
      <w:marBottom w:val="0"/>
      <w:divBdr>
        <w:top w:val="none" w:sz="0" w:space="0" w:color="auto"/>
        <w:left w:val="none" w:sz="0" w:space="0" w:color="auto"/>
        <w:bottom w:val="none" w:sz="0" w:space="0" w:color="auto"/>
        <w:right w:val="none" w:sz="0" w:space="0" w:color="auto"/>
      </w:divBdr>
      <w:divsChild>
        <w:div w:id="1618029524">
          <w:marLeft w:val="360"/>
          <w:marRight w:val="0"/>
          <w:marTop w:val="240"/>
          <w:marBottom w:val="0"/>
          <w:divBdr>
            <w:top w:val="none" w:sz="0" w:space="0" w:color="auto"/>
            <w:left w:val="none" w:sz="0" w:space="0" w:color="auto"/>
            <w:bottom w:val="none" w:sz="0" w:space="0" w:color="auto"/>
            <w:right w:val="none" w:sz="0" w:space="0" w:color="auto"/>
          </w:divBdr>
        </w:div>
        <w:div w:id="1843660006">
          <w:marLeft w:val="360"/>
          <w:marRight w:val="0"/>
          <w:marTop w:val="240"/>
          <w:marBottom w:val="0"/>
          <w:divBdr>
            <w:top w:val="none" w:sz="0" w:space="0" w:color="auto"/>
            <w:left w:val="none" w:sz="0" w:space="0" w:color="auto"/>
            <w:bottom w:val="none" w:sz="0" w:space="0" w:color="auto"/>
            <w:right w:val="none" w:sz="0" w:space="0" w:color="auto"/>
          </w:divBdr>
        </w:div>
      </w:divsChild>
    </w:div>
    <w:div w:id="2130122271">
      <w:bodyDiv w:val="1"/>
      <w:marLeft w:val="0"/>
      <w:marRight w:val="0"/>
      <w:marTop w:val="0"/>
      <w:marBottom w:val="0"/>
      <w:divBdr>
        <w:top w:val="none" w:sz="0" w:space="0" w:color="auto"/>
        <w:left w:val="none" w:sz="0" w:space="0" w:color="auto"/>
        <w:bottom w:val="none" w:sz="0" w:space="0" w:color="auto"/>
        <w:right w:val="none" w:sz="0" w:space="0" w:color="auto"/>
      </w:divBdr>
    </w:div>
    <w:div w:id="2130977405">
      <w:bodyDiv w:val="1"/>
      <w:marLeft w:val="0"/>
      <w:marRight w:val="0"/>
      <w:marTop w:val="0"/>
      <w:marBottom w:val="0"/>
      <w:divBdr>
        <w:top w:val="none" w:sz="0" w:space="0" w:color="auto"/>
        <w:left w:val="none" w:sz="0" w:space="0" w:color="auto"/>
        <w:bottom w:val="none" w:sz="0" w:space="0" w:color="auto"/>
        <w:right w:val="none" w:sz="0" w:space="0" w:color="auto"/>
      </w:divBdr>
    </w:div>
    <w:div w:id="2131128473">
      <w:bodyDiv w:val="1"/>
      <w:marLeft w:val="0"/>
      <w:marRight w:val="0"/>
      <w:marTop w:val="0"/>
      <w:marBottom w:val="0"/>
      <w:divBdr>
        <w:top w:val="none" w:sz="0" w:space="0" w:color="auto"/>
        <w:left w:val="none" w:sz="0" w:space="0" w:color="auto"/>
        <w:bottom w:val="none" w:sz="0" w:space="0" w:color="auto"/>
        <w:right w:val="none" w:sz="0" w:space="0" w:color="auto"/>
      </w:divBdr>
    </w:div>
    <w:div w:id="2132164855">
      <w:bodyDiv w:val="1"/>
      <w:marLeft w:val="0"/>
      <w:marRight w:val="0"/>
      <w:marTop w:val="0"/>
      <w:marBottom w:val="0"/>
      <w:divBdr>
        <w:top w:val="none" w:sz="0" w:space="0" w:color="auto"/>
        <w:left w:val="none" w:sz="0" w:space="0" w:color="auto"/>
        <w:bottom w:val="none" w:sz="0" w:space="0" w:color="auto"/>
        <w:right w:val="none" w:sz="0" w:space="0" w:color="auto"/>
      </w:divBdr>
    </w:div>
    <w:div w:id="2132554694">
      <w:bodyDiv w:val="1"/>
      <w:marLeft w:val="0"/>
      <w:marRight w:val="0"/>
      <w:marTop w:val="0"/>
      <w:marBottom w:val="0"/>
      <w:divBdr>
        <w:top w:val="none" w:sz="0" w:space="0" w:color="auto"/>
        <w:left w:val="none" w:sz="0" w:space="0" w:color="auto"/>
        <w:bottom w:val="none" w:sz="0" w:space="0" w:color="auto"/>
        <w:right w:val="none" w:sz="0" w:space="0" w:color="auto"/>
      </w:divBdr>
    </w:div>
    <w:div w:id="2134706266">
      <w:bodyDiv w:val="1"/>
      <w:marLeft w:val="0"/>
      <w:marRight w:val="0"/>
      <w:marTop w:val="0"/>
      <w:marBottom w:val="0"/>
      <w:divBdr>
        <w:top w:val="none" w:sz="0" w:space="0" w:color="auto"/>
        <w:left w:val="none" w:sz="0" w:space="0" w:color="auto"/>
        <w:bottom w:val="none" w:sz="0" w:space="0" w:color="auto"/>
        <w:right w:val="none" w:sz="0" w:space="0" w:color="auto"/>
      </w:divBdr>
    </w:div>
    <w:div w:id="2135175485">
      <w:bodyDiv w:val="1"/>
      <w:marLeft w:val="0"/>
      <w:marRight w:val="0"/>
      <w:marTop w:val="0"/>
      <w:marBottom w:val="0"/>
      <w:divBdr>
        <w:top w:val="none" w:sz="0" w:space="0" w:color="auto"/>
        <w:left w:val="none" w:sz="0" w:space="0" w:color="auto"/>
        <w:bottom w:val="none" w:sz="0" w:space="0" w:color="auto"/>
        <w:right w:val="none" w:sz="0" w:space="0" w:color="auto"/>
      </w:divBdr>
    </w:div>
    <w:div w:id="2135366690">
      <w:bodyDiv w:val="1"/>
      <w:marLeft w:val="0"/>
      <w:marRight w:val="0"/>
      <w:marTop w:val="0"/>
      <w:marBottom w:val="0"/>
      <w:divBdr>
        <w:top w:val="none" w:sz="0" w:space="0" w:color="auto"/>
        <w:left w:val="none" w:sz="0" w:space="0" w:color="auto"/>
        <w:bottom w:val="none" w:sz="0" w:space="0" w:color="auto"/>
        <w:right w:val="none" w:sz="0" w:space="0" w:color="auto"/>
      </w:divBdr>
    </w:div>
    <w:div w:id="2137596716">
      <w:bodyDiv w:val="1"/>
      <w:marLeft w:val="0"/>
      <w:marRight w:val="0"/>
      <w:marTop w:val="0"/>
      <w:marBottom w:val="0"/>
      <w:divBdr>
        <w:top w:val="none" w:sz="0" w:space="0" w:color="auto"/>
        <w:left w:val="none" w:sz="0" w:space="0" w:color="auto"/>
        <w:bottom w:val="none" w:sz="0" w:space="0" w:color="auto"/>
        <w:right w:val="none" w:sz="0" w:space="0" w:color="auto"/>
      </w:divBdr>
    </w:div>
    <w:div w:id="2137750669">
      <w:bodyDiv w:val="1"/>
      <w:marLeft w:val="0"/>
      <w:marRight w:val="0"/>
      <w:marTop w:val="0"/>
      <w:marBottom w:val="0"/>
      <w:divBdr>
        <w:top w:val="none" w:sz="0" w:space="0" w:color="auto"/>
        <w:left w:val="none" w:sz="0" w:space="0" w:color="auto"/>
        <w:bottom w:val="none" w:sz="0" w:space="0" w:color="auto"/>
        <w:right w:val="none" w:sz="0" w:space="0" w:color="auto"/>
      </w:divBdr>
    </w:div>
    <w:div w:id="2142336506">
      <w:bodyDiv w:val="1"/>
      <w:marLeft w:val="0"/>
      <w:marRight w:val="0"/>
      <w:marTop w:val="0"/>
      <w:marBottom w:val="0"/>
      <w:divBdr>
        <w:top w:val="none" w:sz="0" w:space="0" w:color="auto"/>
        <w:left w:val="none" w:sz="0" w:space="0" w:color="auto"/>
        <w:bottom w:val="none" w:sz="0" w:space="0" w:color="auto"/>
        <w:right w:val="none" w:sz="0" w:space="0" w:color="auto"/>
      </w:divBdr>
    </w:div>
    <w:div w:id="2142841417">
      <w:bodyDiv w:val="1"/>
      <w:marLeft w:val="0"/>
      <w:marRight w:val="0"/>
      <w:marTop w:val="0"/>
      <w:marBottom w:val="0"/>
      <w:divBdr>
        <w:top w:val="none" w:sz="0" w:space="0" w:color="auto"/>
        <w:left w:val="none" w:sz="0" w:space="0" w:color="auto"/>
        <w:bottom w:val="none" w:sz="0" w:space="0" w:color="auto"/>
        <w:right w:val="none" w:sz="0" w:space="0" w:color="auto"/>
      </w:divBdr>
    </w:div>
    <w:div w:id="2143301378">
      <w:bodyDiv w:val="1"/>
      <w:marLeft w:val="0"/>
      <w:marRight w:val="0"/>
      <w:marTop w:val="0"/>
      <w:marBottom w:val="0"/>
      <w:divBdr>
        <w:top w:val="none" w:sz="0" w:space="0" w:color="auto"/>
        <w:left w:val="none" w:sz="0" w:space="0" w:color="auto"/>
        <w:bottom w:val="none" w:sz="0" w:space="0" w:color="auto"/>
        <w:right w:val="none" w:sz="0" w:space="0" w:color="auto"/>
      </w:divBdr>
    </w:div>
    <w:div w:id="2143379313">
      <w:bodyDiv w:val="1"/>
      <w:marLeft w:val="0"/>
      <w:marRight w:val="0"/>
      <w:marTop w:val="0"/>
      <w:marBottom w:val="0"/>
      <w:divBdr>
        <w:top w:val="none" w:sz="0" w:space="0" w:color="auto"/>
        <w:left w:val="none" w:sz="0" w:space="0" w:color="auto"/>
        <w:bottom w:val="none" w:sz="0" w:space="0" w:color="auto"/>
        <w:right w:val="none" w:sz="0" w:space="0" w:color="auto"/>
      </w:divBdr>
    </w:div>
    <w:div w:id="214599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hyperlink" Target="https://www.era.rothamsted.ac.uk/" TargetMode="External"/><Relationship Id="rId39" Type="http://schemas.openxmlformats.org/officeDocument/2006/relationships/hyperlink" Target="https://catalogue.ceh.ac.uk/documents/be3793b6-90fb-4e4c-9515-220cc33223b9" TargetMode="External"/><Relationship Id="rId21" Type="http://schemas.openxmlformats.org/officeDocument/2006/relationships/hyperlink" Target="https://www.re3data.org/" TargetMode="External"/><Relationship Id="rId34" Type="http://schemas.openxmlformats.org/officeDocument/2006/relationships/image" Target="media/image7.png"/><Relationship Id="rId42" Type="http://schemas.openxmlformats.org/officeDocument/2006/relationships/image" Target="media/image8.png"/><Relationship Id="rId47" Type="http://schemas.openxmlformats.org/officeDocument/2006/relationships/image" Target="media/image12.png"/><Relationship Id="rId50" Type="http://schemas.openxmlformats.org/officeDocument/2006/relationships/image" Target="media/image14.png"/><Relationship Id="rId55" Type="http://schemas.openxmlformats.org/officeDocument/2006/relationships/hyperlink" Target="https://doi.org/10.1007/s10705-011-9426-4" TargetMode="External"/><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hillcourtresearch.co.uk/soil-testing-and-analysis/" TargetMode="External"/><Relationship Id="rId11" Type="http://schemas.openxmlformats.org/officeDocument/2006/relationships/endnotes" Target="endnotes.xml"/><Relationship Id="rId24" Type="http://schemas.openxmlformats.org/officeDocument/2006/relationships/hyperlink" Target="https://maps.bonares.de/mapapps/resources/apps/bonares/index.html?lang=en" TargetMode="External"/><Relationship Id="rId32" Type="http://schemas.openxmlformats.org/officeDocument/2006/relationships/hyperlink" Target="https://www.youtube.com/watch?v=aZMs7_uQPSs&amp;t=1s" TargetMode="External"/><Relationship Id="rId37" Type="http://schemas.openxmlformats.org/officeDocument/2006/relationships/header" Target="header6.xml"/><Relationship Id="rId40" Type="http://schemas.openxmlformats.org/officeDocument/2006/relationships/hyperlink" Target="https://agdatacommons.nal.usda.gov/articles/dataset/Dynamic_Soil_Properties_for_Soil_Health_projects/25012457" TargetMode="External"/><Relationship Id="rId45" Type="http://schemas.openxmlformats.org/officeDocument/2006/relationships/chart" Target="charts/chart1.xml"/><Relationship Id="rId53" Type="http://schemas.openxmlformats.org/officeDocument/2006/relationships/image" Target="media/image17.png"/><Relationship Id="rId58" Type="http://schemas.openxmlformats.org/officeDocument/2006/relationships/image" Target="media/image20.jpeg"/><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hyperlink" Target="https://esdac.jrc.ec.europa.eu/content/soil-function-data-measured-lucas-2018-sites-across-eu" TargetMode="External"/><Relationship Id="rId27" Type="http://schemas.openxmlformats.org/officeDocument/2006/relationships/hyperlink" Target="https://cawood.co.uk/nrm/soil-analysis-nrm/" TargetMode="External"/><Relationship Id="rId30" Type="http://schemas.openxmlformats.org/officeDocument/2006/relationships/hyperlink" Target="https://www.eurofins-agro.com/en/soil-health-solutions" TargetMode="External"/><Relationship Id="rId35" Type="http://schemas.openxmlformats.org/officeDocument/2006/relationships/header" Target="header4.xml"/><Relationship Id="rId43" Type="http://schemas.openxmlformats.org/officeDocument/2006/relationships/image" Target="media/image9.png"/><Relationship Id="rId48" Type="http://schemas.openxmlformats.org/officeDocument/2006/relationships/image" Target="media/image13.png"/><Relationship Id="rId56" Type="http://schemas.openxmlformats.org/officeDocument/2006/relationships/image" Target="media/image18.jpeg"/><Relationship Id="rId64" Type="http://schemas.microsoft.com/office/2020/10/relationships/intelligence" Target="intelligence2.xml"/><Relationship Id="rId8" Type="http://schemas.openxmlformats.org/officeDocument/2006/relationships/settings" Target="settings.xml"/><Relationship Id="rId51" Type="http://schemas.openxmlformats.org/officeDocument/2006/relationships/image" Target="media/image15.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agdatacommons.nal.usda.gov/" TargetMode="External"/><Relationship Id="rId33" Type="http://schemas.openxmlformats.org/officeDocument/2006/relationships/image" Target="media/image6.png"/><Relationship Id="rId38" Type="http://schemas.openxmlformats.org/officeDocument/2006/relationships/footer" Target="footer3.xml"/><Relationship Id="rId46" Type="http://schemas.openxmlformats.org/officeDocument/2006/relationships/image" Target="media/image11.png"/><Relationship Id="rId59" Type="http://schemas.openxmlformats.org/officeDocument/2006/relationships/hyperlink" Target="http://ahdb.org.uk" TargetMode="External"/><Relationship Id="rId20" Type="http://schemas.openxmlformats.org/officeDocument/2006/relationships/image" Target="media/image5.png"/><Relationship Id="rId41" Type="http://schemas.openxmlformats.org/officeDocument/2006/relationships/hyperlink" Target="https://agdatacommons.nal.usda.gov/articles/dataset/North_American_Project_to_Evaluate_Soil_Health_Measurements_Dataset/25632270?file=46794877" TargetMode="External"/><Relationship Id="rId54" Type="http://schemas.openxmlformats.org/officeDocument/2006/relationships/hyperlink" Target="https://doi.org/10.1016/S0038-0717(98)00057-1" TargetMode="Externa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zenodo.org/" TargetMode="External"/><Relationship Id="rId28" Type="http://schemas.openxmlformats.org/officeDocument/2006/relationships/hyperlink" Target="https://www.yara.co.uk/crop-nutrition/farmers-toolbox/analytical-services/soil-testing-and-analysis/" TargetMode="External"/><Relationship Id="rId36" Type="http://schemas.openxmlformats.org/officeDocument/2006/relationships/header" Target="header5.xml"/><Relationship Id="rId49" Type="http://schemas.openxmlformats.org/officeDocument/2006/relationships/hyperlink" Target="https://ai4soilhealth.eu/" TargetMode="External"/><Relationship Id="rId57" Type="http://schemas.openxmlformats.org/officeDocument/2006/relationships/image" Target="media/image19.jpeg"/><Relationship Id="rId10" Type="http://schemas.openxmlformats.org/officeDocument/2006/relationships/footnotes" Target="footnotes.xml"/><Relationship Id="rId31" Type="http://schemas.openxmlformats.org/officeDocument/2006/relationships/hyperlink" Target="https://ai4soilhealth.eu/" TargetMode="External"/><Relationship Id="rId44" Type="http://schemas.openxmlformats.org/officeDocument/2006/relationships/image" Target="media/image10.png"/><Relationship Id="rId52" Type="http://schemas.openxmlformats.org/officeDocument/2006/relationships/image" Target="media/image16.png"/><Relationship Id="rId60" Type="http://schemas.openxmlformats.org/officeDocument/2006/relationships/hyperlink" Target="http://ahdb.org.uk"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protect.checkpoint.com/v2/r02/___https://chat.openai.com___.YzJlOnJza2dyb3VwcGxjOmM6bzowZmNjMTdmZjk2YjQ5ODNkMjEzYmMxZmE3YmEzYWRlNzo3OmJjZDQ6NGZjYTVjNmE4ZjJiZGUzNmQ2YjIxYzkyZDFlMDAwZDdmNzM1YmUyYTY0YjBlMzg1NmEyMGRlNjRmZGIzNzY0YzpwOkY6VA" TargetMode="External"/><Relationship Id="rId1" Type="http://schemas.openxmlformats.org/officeDocument/2006/relationships/hyperlink" Target="https://protect.checkpoint.com/v2/r02/___https://chat.openai.com___.YzJlOnJza2dyb3VwcGxjOmM6bzowZmNjMTdmZjk2YjQ5ODNkMjEzYmMxZmE3YmEzYWRlNzo3OmJjZDQ6NGZjYTVjNmE4ZjJiZGUzNmQ2YjIxYzkyZDFlMDAwZDdmNzM1YmUyYTY0YjBlMzg1NmEyMGRlNjRmZGIzNzY0YzpwOkY6V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https://ahdbonline.sharepoint.com/sites/BrandGuide/OfficeTemplates/AHDBReportTemplate_2025(WhiteCover).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rskgroup.sharepoint.com/sites/AHDBSoilHealthBid/Shared%20Documents/General/Task%202.3%20Industry%20workshops/EISH%20Industry%20Workshop%20%20Menti%20compile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Sheet1!$A$6</c:f>
              <c:strCache>
                <c:ptCount val="1"/>
                <c:pt idx="0">
                  <c:v>Definitely include</c:v>
                </c:pt>
              </c:strCache>
            </c:strRef>
          </c:tx>
          <c:spPr>
            <a:solidFill>
              <a:schemeClr val="accent1"/>
            </a:solidFill>
            <a:ln>
              <a:noFill/>
            </a:ln>
            <a:effectLst/>
          </c:spPr>
          <c:invertIfNegative val="0"/>
          <c:cat>
            <c:strRef>
              <c:f>(Sheet1!$B$1,Sheet1!$E$1,Sheet1!$I$1,Sheet1!$M$1)</c:f>
              <c:strCache>
                <c:ptCount val="4"/>
                <c:pt idx="0">
                  <c:v>PMN</c:v>
                </c:pt>
                <c:pt idx="1">
                  <c:v>Active C (POXC)</c:v>
                </c:pt>
                <c:pt idx="2">
                  <c:v>Shovelomics</c:v>
                </c:pt>
                <c:pt idx="3">
                  <c:v>Aggregate stability</c:v>
                </c:pt>
              </c:strCache>
            </c:strRef>
          </c:cat>
          <c:val>
            <c:numRef>
              <c:f>(Sheet1!$D$6,Sheet1!$H$6,Sheet1!$L$6,Sheet1!$P$6)</c:f>
              <c:numCache>
                <c:formatCode>General</c:formatCode>
                <c:ptCount val="4"/>
                <c:pt idx="0">
                  <c:v>5</c:v>
                </c:pt>
                <c:pt idx="1">
                  <c:v>4</c:v>
                </c:pt>
                <c:pt idx="2">
                  <c:v>18</c:v>
                </c:pt>
                <c:pt idx="3">
                  <c:v>17</c:v>
                </c:pt>
              </c:numCache>
            </c:numRef>
          </c:val>
          <c:extLst>
            <c:ext xmlns:c16="http://schemas.microsoft.com/office/drawing/2014/chart" uri="{C3380CC4-5D6E-409C-BE32-E72D297353CC}">
              <c16:uniqueId val="{00000000-9DB4-42F7-B5E2-AC868F3C33C6}"/>
            </c:ext>
          </c:extLst>
        </c:ser>
        <c:ser>
          <c:idx val="1"/>
          <c:order val="1"/>
          <c:tx>
            <c:strRef>
              <c:f>Sheet1!$A$7</c:f>
              <c:strCache>
                <c:ptCount val="1"/>
                <c:pt idx="0">
                  <c:v>Definitely exclude</c:v>
                </c:pt>
              </c:strCache>
            </c:strRef>
          </c:tx>
          <c:spPr>
            <a:solidFill>
              <a:schemeClr val="accent4"/>
            </a:solidFill>
            <a:ln>
              <a:noFill/>
            </a:ln>
            <a:effectLst/>
          </c:spPr>
          <c:invertIfNegative val="0"/>
          <c:cat>
            <c:strRef>
              <c:f>(Sheet1!$B$1,Sheet1!$E$1,Sheet1!$I$1,Sheet1!$M$1)</c:f>
              <c:strCache>
                <c:ptCount val="4"/>
                <c:pt idx="0">
                  <c:v>PMN</c:v>
                </c:pt>
                <c:pt idx="1">
                  <c:v>Active C (POXC)</c:v>
                </c:pt>
                <c:pt idx="2">
                  <c:v>Shovelomics</c:v>
                </c:pt>
                <c:pt idx="3">
                  <c:v>Aggregate stability</c:v>
                </c:pt>
              </c:strCache>
            </c:strRef>
          </c:cat>
          <c:val>
            <c:numRef>
              <c:f>(Sheet1!$D$7,Sheet1!$H$7,Sheet1!$L$7,Sheet1!$P$7)</c:f>
              <c:numCache>
                <c:formatCode>General</c:formatCode>
                <c:ptCount val="4"/>
                <c:pt idx="0">
                  <c:v>3</c:v>
                </c:pt>
                <c:pt idx="1">
                  <c:v>3</c:v>
                </c:pt>
                <c:pt idx="2">
                  <c:v>1</c:v>
                </c:pt>
                <c:pt idx="3">
                  <c:v>1</c:v>
                </c:pt>
              </c:numCache>
            </c:numRef>
          </c:val>
          <c:extLst>
            <c:ext xmlns:c16="http://schemas.microsoft.com/office/drawing/2014/chart" uri="{C3380CC4-5D6E-409C-BE32-E72D297353CC}">
              <c16:uniqueId val="{00000001-9DB4-42F7-B5E2-AC868F3C33C6}"/>
            </c:ext>
          </c:extLst>
        </c:ser>
        <c:ser>
          <c:idx val="2"/>
          <c:order val="2"/>
          <c:tx>
            <c:strRef>
              <c:f>Sheet1!$A$8</c:f>
              <c:strCache>
                <c:ptCount val="1"/>
                <c:pt idx="0">
                  <c:v>I don't have enough knowledge to say</c:v>
                </c:pt>
              </c:strCache>
            </c:strRef>
          </c:tx>
          <c:spPr>
            <a:solidFill>
              <a:srgbClr val="6DA32F"/>
            </a:solidFill>
            <a:ln>
              <a:noFill/>
            </a:ln>
            <a:effectLst/>
          </c:spPr>
          <c:invertIfNegative val="0"/>
          <c:cat>
            <c:strRef>
              <c:f>(Sheet1!$B$1,Sheet1!$E$1,Sheet1!$I$1,Sheet1!$M$1)</c:f>
              <c:strCache>
                <c:ptCount val="4"/>
                <c:pt idx="0">
                  <c:v>PMN</c:v>
                </c:pt>
                <c:pt idx="1">
                  <c:v>Active C (POXC)</c:v>
                </c:pt>
                <c:pt idx="2">
                  <c:v>Shovelomics</c:v>
                </c:pt>
                <c:pt idx="3">
                  <c:v>Aggregate stability</c:v>
                </c:pt>
              </c:strCache>
            </c:strRef>
          </c:cat>
          <c:val>
            <c:numRef>
              <c:f>(Sheet1!$D$8,Sheet1!$H$8,Sheet1!$L$8,Sheet1!$P$8)</c:f>
              <c:numCache>
                <c:formatCode>General</c:formatCode>
                <c:ptCount val="4"/>
                <c:pt idx="0">
                  <c:v>13</c:v>
                </c:pt>
                <c:pt idx="1">
                  <c:v>15</c:v>
                </c:pt>
                <c:pt idx="2">
                  <c:v>3</c:v>
                </c:pt>
                <c:pt idx="3">
                  <c:v>5</c:v>
                </c:pt>
              </c:numCache>
            </c:numRef>
          </c:val>
          <c:extLst>
            <c:ext xmlns:c16="http://schemas.microsoft.com/office/drawing/2014/chart" uri="{C3380CC4-5D6E-409C-BE32-E72D297353CC}">
              <c16:uniqueId val="{00000002-9DB4-42F7-B5E2-AC868F3C33C6}"/>
            </c:ext>
          </c:extLst>
        </c:ser>
        <c:dLbls>
          <c:showLegendKey val="0"/>
          <c:showVal val="0"/>
          <c:showCatName val="0"/>
          <c:showSerName val="0"/>
          <c:showPercent val="0"/>
          <c:showBubbleSize val="0"/>
        </c:dLbls>
        <c:gapWidth val="219"/>
        <c:overlap val="-27"/>
        <c:axId val="370094687"/>
        <c:axId val="370099007"/>
      </c:barChart>
      <c:catAx>
        <c:axId val="370094687"/>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accent6">
                    <a:lumMod val="50000"/>
                  </a:schemeClr>
                </a:solidFill>
                <a:latin typeface="Arial" panose="020B0604020202020204" pitchFamily="34" charset="0"/>
                <a:ea typeface="+mn-ea"/>
                <a:cs typeface="Arial" panose="020B0604020202020204" pitchFamily="34" charset="0"/>
              </a:defRPr>
            </a:pPr>
            <a:endParaRPr lang="en-US"/>
          </a:p>
        </c:txPr>
        <c:crossAx val="370099007"/>
        <c:crosses val="autoZero"/>
        <c:auto val="1"/>
        <c:lblAlgn val="ctr"/>
        <c:lblOffset val="100"/>
        <c:noMultiLvlLbl val="0"/>
      </c:catAx>
      <c:valAx>
        <c:axId val="370099007"/>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accent6">
                        <a:lumMod val="50000"/>
                      </a:schemeClr>
                    </a:solidFill>
                    <a:latin typeface="Arial" panose="020B0604020202020204" pitchFamily="34" charset="0"/>
                    <a:ea typeface="+mn-ea"/>
                    <a:cs typeface="Arial" panose="020B0604020202020204" pitchFamily="34" charset="0"/>
                  </a:defRPr>
                </a:pPr>
                <a:r>
                  <a:rPr lang="en-US">
                    <a:solidFill>
                      <a:schemeClr val="accent6">
                        <a:lumMod val="50000"/>
                      </a:schemeClr>
                    </a:solidFill>
                  </a:rPr>
                  <a:t>Votes</a:t>
                </a:r>
              </a:p>
            </c:rich>
          </c:tx>
          <c:layout>
            <c:manualLayout>
              <c:xMode val="edge"/>
              <c:yMode val="edge"/>
              <c:x val="1.5435501653803748E-2"/>
              <c:y val="3.2082162592841836E-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accent6">
                      <a:lumMod val="50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6">
                    <a:lumMod val="50000"/>
                  </a:schemeClr>
                </a:solidFill>
                <a:latin typeface="Arial" panose="020B0604020202020204" pitchFamily="34" charset="0"/>
                <a:ea typeface="+mn-ea"/>
                <a:cs typeface="Arial" panose="020B0604020202020204" pitchFamily="34" charset="0"/>
              </a:defRPr>
            </a:pPr>
            <a:endParaRPr lang="en-US"/>
          </a:p>
        </c:txPr>
        <c:crossAx val="3700946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accent6">
                  <a:lumMod val="50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b="1">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CE43AE3A004BD8821B75F9903A1861"/>
        <w:category>
          <w:name w:val="General"/>
          <w:gallery w:val="placeholder"/>
        </w:category>
        <w:types>
          <w:type w:val="bbPlcHdr"/>
        </w:types>
        <w:behaviors>
          <w:behavior w:val="content"/>
        </w:behaviors>
        <w:guid w:val="{7A2840AC-DFCA-4820-8EC8-E7B5B5878F6F}"/>
      </w:docPartPr>
      <w:docPartBody>
        <w:p w:rsidR="00B60948" w:rsidRDefault="00B61F52" w:rsidP="00B61F52">
          <w:pPr>
            <w:pStyle w:val="41CE43AE3A004BD8821B75F9903A1861"/>
          </w:pPr>
          <w:r w:rsidRPr="00A4353B">
            <w:rPr>
              <w:rStyle w:val="PlaceholderText"/>
            </w:rPr>
            <w:t>Click or tap here to enter text.</w:t>
          </w:r>
        </w:p>
      </w:docPartBody>
    </w:docPart>
    <w:docPart>
      <w:docPartPr>
        <w:name w:val="68F49890965D42249F0D776FE78E7CB2"/>
        <w:category>
          <w:name w:val="General"/>
          <w:gallery w:val="placeholder"/>
        </w:category>
        <w:types>
          <w:type w:val="bbPlcHdr"/>
        </w:types>
        <w:behaviors>
          <w:behavior w:val="content"/>
        </w:behaviors>
        <w:guid w:val="{F7AE0D50-B356-4A81-8373-6C146F94500A}"/>
      </w:docPartPr>
      <w:docPartBody>
        <w:p w:rsidR="00B60948" w:rsidRDefault="00B61F52" w:rsidP="00B61F52">
          <w:pPr>
            <w:pStyle w:val="68F49890965D42249F0D776FE78E7CB2"/>
          </w:pPr>
          <w:r w:rsidRPr="00A4353B">
            <w:rPr>
              <w:rStyle w:val="PlaceholderText"/>
            </w:rPr>
            <w:t>Click or tap here to enter text.</w:t>
          </w:r>
        </w:p>
      </w:docPartBody>
    </w:docPart>
    <w:docPart>
      <w:docPartPr>
        <w:name w:val="D5257E00441A4A8CA20269166D0C4664"/>
        <w:category>
          <w:name w:val="General"/>
          <w:gallery w:val="placeholder"/>
        </w:category>
        <w:types>
          <w:type w:val="bbPlcHdr"/>
        </w:types>
        <w:behaviors>
          <w:behavior w:val="content"/>
        </w:behaviors>
        <w:guid w:val="{15B8E563-E679-469D-B0A0-0927AA734895}"/>
      </w:docPartPr>
      <w:docPartBody>
        <w:p w:rsidR="00B60948" w:rsidRDefault="00B61F52" w:rsidP="00B61F52">
          <w:pPr>
            <w:pStyle w:val="D5257E00441A4A8CA20269166D0C4664"/>
          </w:pPr>
          <w:r w:rsidRPr="00A4353B">
            <w:rPr>
              <w:rStyle w:val="PlaceholderText"/>
            </w:rPr>
            <w:t>Click or tap here to enter text.</w:t>
          </w:r>
        </w:p>
      </w:docPartBody>
    </w:docPart>
    <w:docPart>
      <w:docPartPr>
        <w:name w:val="B5CBF3B107F84FC085A4FAEC8A803456"/>
        <w:category>
          <w:name w:val="General"/>
          <w:gallery w:val="placeholder"/>
        </w:category>
        <w:types>
          <w:type w:val="bbPlcHdr"/>
        </w:types>
        <w:behaviors>
          <w:behavior w:val="content"/>
        </w:behaviors>
        <w:guid w:val="{E93B0ACC-FC9C-4CFD-BA29-E700971A8773}"/>
      </w:docPartPr>
      <w:docPartBody>
        <w:p w:rsidR="00B60948" w:rsidRDefault="00B61F52" w:rsidP="00B61F52">
          <w:pPr>
            <w:pStyle w:val="B5CBF3B107F84FC085A4FAEC8A803456"/>
          </w:pPr>
          <w:r w:rsidRPr="00A4353B">
            <w:rPr>
              <w:rStyle w:val="PlaceholderText"/>
            </w:rPr>
            <w:t>Click or tap here to enter text.</w:t>
          </w:r>
        </w:p>
      </w:docPartBody>
    </w:docPart>
    <w:docPart>
      <w:docPartPr>
        <w:name w:val="D0486A74254246619000565A117D1296"/>
        <w:category>
          <w:name w:val="General"/>
          <w:gallery w:val="placeholder"/>
        </w:category>
        <w:types>
          <w:type w:val="bbPlcHdr"/>
        </w:types>
        <w:behaviors>
          <w:behavior w:val="content"/>
        </w:behaviors>
        <w:guid w:val="{91D69915-C8B9-455B-90B2-8AFA58CFC33C}"/>
      </w:docPartPr>
      <w:docPartBody>
        <w:p w:rsidR="00B60948" w:rsidRDefault="00B61F52" w:rsidP="00B61F52">
          <w:pPr>
            <w:pStyle w:val="D0486A74254246619000565A117D1296"/>
          </w:pPr>
          <w:r w:rsidRPr="00A4353B">
            <w:rPr>
              <w:rStyle w:val="PlaceholderText"/>
            </w:rPr>
            <w:t>Click or tap here to enter text.</w:t>
          </w:r>
        </w:p>
      </w:docPartBody>
    </w:docPart>
    <w:docPart>
      <w:docPartPr>
        <w:name w:val="70470519F46F4AE7BF3437C4A9F850A3"/>
        <w:category>
          <w:name w:val="General"/>
          <w:gallery w:val="placeholder"/>
        </w:category>
        <w:types>
          <w:type w:val="bbPlcHdr"/>
        </w:types>
        <w:behaviors>
          <w:behavior w:val="content"/>
        </w:behaviors>
        <w:guid w:val="{084FF68E-AB58-4FB2-8A62-B72EC2C22D6E}"/>
      </w:docPartPr>
      <w:docPartBody>
        <w:p w:rsidR="00B60948" w:rsidRDefault="00B61F52" w:rsidP="00B61F52">
          <w:pPr>
            <w:pStyle w:val="70470519F46F4AE7BF3437C4A9F850A3"/>
          </w:pPr>
          <w:r w:rsidRPr="00A4353B">
            <w:rPr>
              <w:rStyle w:val="PlaceholderText"/>
            </w:rPr>
            <w:t>Click or tap here to enter text.</w:t>
          </w:r>
        </w:p>
      </w:docPartBody>
    </w:docPart>
    <w:docPart>
      <w:docPartPr>
        <w:name w:val="EBD0D16758D644CCA853F349FAF81B4B"/>
        <w:category>
          <w:name w:val="General"/>
          <w:gallery w:val="placeholder"/>
        </w:category>
        <w:types>
          <w:type w:val="bbPlcHdr"/>
        </w:types>
        <w:behaviors>
          <w:behavior w:val="content"/>
        </w:behaviors>
        <w:guid w:val="{F976EB2B-7DE3-4688-831E-55C90DDAFFBB}"/>
      </w:docPartPr>
      <w:docPartBody>
        <w:p w:rsidR="00B60948" w:rsidRDefault="00B61F52" w:rsidP="00B61F52">
          <w:pPr>
            <w:pStyle w:val="EBD0D16758D644CCA853F349FAF81B4B"/>
          </w:pPr>
          <w:r w:rsidRPr="00A4353B">
            <w:rPr>
              <w:rStyle w:val="PlaceholderText"/>
            </w:rPr>
            <w:t>Click or tap here to enter text.</w:t>
          </w:r>
        </w:p>
      </w:docPartBody>
    </w:docPart>
    <w:docPart>
      <w:docPartPr>
        <w:name w:val="36CDF4594A4F4E4CA09FDE2593065298"/>
        <w:category>
          <w:name w:val="General"/>
          <w:gallery w:val="placeholder"/>
        </w:category>
        <w:types>
          <w:type w:val="bbPlcHdr"/>
        </w:types>
        <w:behaviors>
          <w:behavior w:val="content"/>
        </w:behaviors>
        <w:guid w:val="{04A92187-1857-46CC-A6FD-CBF6150694CC}"/>
      </w:docPartPr>
      <w:docPartBody>
        <w:p w:rsidR="00B60948" w:rsidRDefault="00B61F52" w:rsidP="00B61F52">
          <w:pPr>
            <w:pStyle w:val="36CDF4594A4F4E4CA09FDE2593065298"/>
          </w:pPr>
          <w:r w:rsidRPr="00A4353B">
            <w:rPr>
              <w:rStyle w:val="PlaceholderText"/>
            </w:rPr>
            <w:t>Click or tap here to enter text.</w:t>
          </w:r>
        </w:p>
      </w:docPartBody>
    </w:docPart>
    <w:docPart>
      <w:docPartPr>
        <w:name w:val="93F1DAB9ACD1470DA5B81A80245EA883"/>
        <w:category>
          <w:name w:val="General"/>
          <w:gallery w:val="placeholder"/>
        </w:category>
        <w:types>
          <w:type w:val="bbPlcHdr"/>
        </w:types>
        <w:behaviors>
          <w:behavior w:val="content"/>
        </w:behaviors>
        <w:guid w:val="{5CF555E6-1B55-4BF1-984B-E0418C028835}"/>
      </w:docPartPr>
      <w:docPartBody>
        <w:p w:rsidR="00B60948" w:rsidRDefault="00B61F52" w:rsidP="00B61F52">
          <w:pPr>
            <w:pStyle w:val="93F1DAB9ACD1470DA5B81A80245EA883"/>
          </w:pPr>
          <w:r w:rsidRPr="00A4353B">
            <w:rPr>
              <w:rStyle w:val="PlaceholderText"/>
            </w:rPr>
            <w:t>Click or tap here to enter text.</w:t>
          </w:r>
        </w:p>
      </w:docPartBody>
    </w:docPart>
    <w:docPart>
      <w:docPartPr>
        <w:name w:val="52E1102126B34D5D8760B5019461AA57"/>
        <w:category>
          <w:name w:val="General"/>
          <w:gallery w:val="placeholder"/>
        </w:category>
        <w:types>
          <w:type w:val="bbPlcHdr"/>
        </w:types>
        <w:behaviors>
          <w:behavior w:val="content"/>
        </w:behaviors>
        <w:guid w:val="{69C63898-8B77-4651-BE57-1259CF7F057C}"/>
      </w:docPartPr>
      <w:docPartBody>
        <w:p w:rsidR="00B60948" w:rsidRDefault="00B61F52" w:rsidP="00B61F52">
          <w:pPr>
            <w:pStyle w:val="52E1102126B34D5D8760B5019461AA57"/>
          </w:pPr>
          <w:r w:rsidRPr="00A435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panose1 w:val="020B0504030602030204"/>
    <w:charset w:val="00"/>
    <w:family w:val="swiss"/>
    <w:pitch w:val="variable"/>
    <w:sig w:usb0="E00002FF" w:usb1="5000205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dy CS)">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rial (Headings CS)">
    <w:altName w:val="Arial"/>
    <w:charset w:val="00"/>
    <w:family w:val="roman"/>
    <w:pitch w:val="default"/>
  </w:font>
  <w:font w:name="+mn-ea">
    <w:charset w:val="00"/>
    <w:family w:val="roman"/>
    <w:pitch w:val="default"/>
  </w:font>
  <w:font w:name="+mn-cs">
    <w:altName w:val="Cambria"/>
    <w:charset w:val="00"/>
    <w:family w:val="roman"/>
    <w:pitch w:val="default"/>
  </w:font>
  <w:font w:name="Ubuntu Light">
    <w:altName w:val="Ubuntu Medium"/>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F52"/>
    <w:rsid w:val="00014262"/>
    <w:rsid w:val="00126E53"/>
    <w:rsid w:val="00150801"/>
    <w:rsid w:val="0018264E"/>
    <w:rsid w:val="001C1155"/>
    <w:rsid w:val="001F0904"/>
    <w:rsid w:val="001F0DCC"/>
    <w:rsid w:val="00217732"/>
    <w:rsid w:val="00444849"/>
    <w:rsid w:val="00463863"/>
    <w:rsid w:val="005E3B75"/>
    <w:rsid w:val="006E2D47"/>
    <w:rsid w:val="00794420"/>
    <w:rsid w:val="007B086F"/>
    <w:rsid w:val="0080061B"/>
    <w:rsid w:val="0086089C"/>
    <w:rsid w:val="008F1E1F"/>
    <w:rsid w:val="00910C1C"/>
    <w:rsid w:val="00A86CE8"/>
    <w:rsid w:val="00AB12D4"/>
    <w:rsid w:val="00AF2A4D"/>
    <w:rsid w:val="00B60948"/>
    <w:rsid w:val="00B61F52"/>
    <w:rsid w:val="00B73C85"/>
    <w:rsid w:val="00B83ABD"/>
    <w:rsid w:val="00DA1528"/>
    <w:rsid w:val="00DF5649"/>
    <w:rsid w:val="00E3670B"/>
    <w:rsid w:val="00E641BE"/>
    <w:rsid w:val="00EA1784"/>
    <w:rsid w:val="00EB2E58"/>
    <w:rsid w:val="00FC0C18"/>
    <w:rsid w:val="00FD0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1F52"/>
    <w:rPr>
      <w:color w:val="666666"/>
    </w:rPr>
  </w:style>
  <w:style w:type="paragraph" w:customStyle="1" w:styleId="41CE43AE3A004BD8821B75F9903A1861">
    <w:name w:val="41CE43AE3A004BD8821B75F9903A1861"/>
    <w:rsid w:val="00B61F52"/>
  </w:style>
  <w:style w:type="paragraph" w:customStyle="1" w:styleId="68F49890965D42249F0D776FE78E7CB2">
    <w:name w:val="68F49890965D42249F0D776FE78E7CB2"/>
    <w:rsid w:val="00B61F52"/>
  </w:style>
  <w:style w:type="paragraph" w:customStyle="1" w:styleId="D5257E00441A4A8CA20269166D0C4664">
    <w:name w:val="D5257E00441A4A8CA20269166D0C4664"/>
    <w:rsid w:val="00B61F52"/>
  </w:style>
  <w:style w:type="paragraph" w:customStyle="1" w:styleId="B5CBF3B107F84FC085A4FAEC8A803456">
    <w:name w:val="B5CBF3B107F84FC085A4FAEC8A803456"/>
    <w:rsid w:val="00B61F52"/>
  </w:style>
  <w:style w:type="paragraph" w:customStyle="1" w:styleId="D0486A74254246619000565A117D1296">
    <w:name w:val="D0486A74254246619000565A117D1296"/>
    <w:rsid w:val="00B61F52"/>
  </w:style>
  <w:style w:type="paragraph" w:customStyle="1" w:styleId="70470519F46F4AE7BF3437C4A9F850A3">
    <w:name w:val="70470519F46F4AE7BF3437C4A9F850A3"/>
    <w:rsid w:val="00B61F52"/>
  </w:style>
  <w:style w:type="paragraph" w:customStyle="1" w:styleId="EBD0D16758D644CCA853F349FAF81B4B">
    <w:name w:val="EBD0D16758D644CCA853F349FAF81B4B"/>
    <w:rsid w:val="00B61F52"/>
  </w:style>
  <w:style w:type="paragraph" w:customStyle="1" w:styleId="36CDF4594A4F4E4CA09FDE2593065298">
    <w:name w:val="36CDF4594A4F4E4CA09FDE2593065298"/>
    <w:rsid w:val="00B61F52"/>
  </w:style>
  <w:style w:type="paragraph" w:customStyle="1" w:styleId="93F1DAB9ACD1470DA5B81A80245EA883">
    <w:name w:val="93F1DAB9ACD1470DA5B81A80245EA883"/>
    <w:rsid w:val="00B61F52"/>
  </w:style>
  <w:style w:type="paragraph" w:customStyle="1" w:styleId="52E1102126B34D5D8760B5019461AA57">
    <w:name w:val="52E1102126B34D5D8760B5019461AA57"/>
    <w:rsid w:val="00B61F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Met24</b:Tag>
    <b:SourceType>InternetSite</b:SourceType>
    <b:Guid>{3A0F7817-6B54-4FD5-9B40-0EE93312516F}</b:Guid>
    <b:Author>
      <b:Author>
        <b:Corporate>Met Office</b:Corporate>
      </b:Author>
    </b:Author>
    <b:Title>Climate change adaptation - Met Office</b:Title>
    <b:ProductionCompany>Met Office</b:ProductionCompany>
    <b:YearAccessed>2024</b:YearAccessed>
    <b:MonthAccessed>October</b:MonthAccessed>
    <b:URL>https://www.metoffice.gov.uk/weather/climate/solutions/climate-change-adaptation</b:URL>
    <b:RefOrder>1</b:RefOrder>
  </b:Source>
  <b:Source>
    <b:Tag>Placeholder1</b:Tag>
    <b:SourceType>InternetSite</b:SourceType>
    <b:Guid>{248ECB75-AC61-4082-8A52-6C46D0CA597C}</b:Guid>
    <b:Author>
      <b:Author>
        <b:Corporate>Met Office</b:Corporate>
      </b:Author>
    </b:Author>
    <b:URL>https://www.metoffice.gov.uk/research/approach/collaboration/ukcp</b:URL>
    <b:Title>UK Climate Projections (UKCP)</b:Title>
    <b:ProductionCompany>Met Office</b:ProductionCompany>
    <b:YearAccessed>2024</b:YearAccessed>
    <b:MonthAccessed>October</b:MonthAccessed>
    <b:RefOrder>2</b:RefOrder>
  </b:Source>
  <b:Source>
    <b:Tag>AHD23</b:Tag>
    <b:SourceType>InternetSite</b:SourceType>
    <b:Guid>{A65BDC72-4272-474E-9A89-F1A180B81B0D}</b:Guid>
    <b:Author>
      <b:Author>
        <b:Corporate>AHDB</b:Corporate>
      </b:Author>
    </b:Author>
    <b:Title>GB milk deliveries: production down in October as wet weather hit the UK</b:Title>
    <b:Year>2023</b:Year>
    <b:Month>November</b:Month>
    <b:URL>https://ahdb.org.uk/news/gb-milk-deliveries-production-down-in-october-as-wet-weather-hit-the-uk</b:URL>
    <b:RefOrder>3</b:RefOrder>
  </b:Source>
  <b:Source>
    <b:Tag>AHD24</b:Tag>
    <b:SourceType>InternetSite</b:SourceType>
    <b:Guid>{B63A12A4-442E-406E-A7BD-AFE885B51353}</b:Guid>
    <b:Author>
      <b:Author>
        <b:Corporate>AHDB</b:Corporate>
      </b:Author>
    </b:Author>
    <b:Title>High excess winter rainfall already recorded across the UK</b:Title>
    <b:ProductionCompany>AHDB</b:ProductionCompany>
    <b:Year>2024</b:Year>
    <b:Month>February</b:Month>
    <b:URL>https://ahdb.org.uk/news/high-excess-winter-rainfall-already-recorded-across-the-uk</b:URL>
    <b:RefOrder>4</b:RefOrder>
  </b:Source>
  <b:Source>
    <b:Tag>Far23</b:Tag>
    <b:SourceType>DocumentFromInternetSite</b:SourceType>
    <b:Guid>{954E660B-269A-4B4C-BF23-142B18F7643B}</b:Guid>
    <b:Title>Harvest heatwaves likely to lead to surge in farm fires</b:Title>
    <b:Year>2023</b:Year>
    <b:Author>
      <b:Author>
        <b:Corporate>Farmers Weekly</b:Corporate>
      </b:Author>
    </b:Author>
    <b:Month>November</b:Month>
    <b:Day>13</b:Day>
    <b:URL>https://www.fwi.co.uk/news/harvest-heatwaves-likely-to-lead-to-surge-in-farm-fires</b:URL>
    <b:RefOrder>5</b:RefOrder>
  </b:Source>
  <b:Source>
    <b:Tag>Met1</b:Tag>
    <b:SourceType>DocumentFromInternetSite</b:SourceType>
    <b:Guid>{70D104A5-F284-45A7-9150-45D601294244}</b:Guid>
    <b:Author>
      <b:Author>
        <b:Corporate>Met Office</b:Corporate>
      </b:Author>
    </b:Author>
    <b:Title>Joint hottest summer on record for England</b:Title>
    <b:Year>1</b:Year>
    <b:Month>September</b:Month>
    <b:Day>2022</b:Day>
    <b:URL>https://www.metoffice.gov.uk/about-us/news-and-media/media-centre/weather-and-climate-news/2022/joint-hottest-summer-on-record-for-england</b:URL>
    <b:RefOrder>6</b:RefOrder>
  </b:Source>
  <b:Source>
    <b:Tag>Met23</b:Tag>
    <b:SourceType>DocumentFromInternetSite</b:SourceType>
    <b:Guid>{294557B4-9A29-4E52-BF52-F05E8965ABB8}</b:Guid>
    <b:Author>
      <b:Author>
        <b:Corporate>Met Office</b:Corporate>
      </b:Author>
    </b:Author>
    <b:Title>Record breaking 2022 indicative of future UK climate</b:Title>
    <b:Year>2023</b:Year>
    <b:Month>July</b:Month>
    <b:Day>27</b:Day>
    <b:URL>https://www.metoffice.gov.uk/about-us/news-and-media/media-centre/weather-and-climate-news/2023/record-breaking-2022-indicative-of-future-uk-climate</b:URL>
    <b:RefOrder>7</b:RefOrder>
  </b:Source>
  <b:Source>
    <b:Tag>AHD22</b:Tag>
    <b:SourceType>DocumentFromInternetSite</b:SourceType>
    <b:Guid>{C7CBEF57-E558-4B49-9BC7-54951D717608}</b:Guid>
    <b:Author>
      <b:Author>
        <b:Corporate>AHDB</b:Corporate>
      </b:Author>
    </b:Author>
    <b:Title>GB grass growth update: dryness prevails</b:Title>
    <b:Year>2022</b:Year>
    <b:Month>August</b:Month>
    <b:Day>10</b:Day>
    <b:URL>https://ahdb.org.uk/news/gb-grass-growth-proving-a-challenge</b:URL>
    <b:RefOrder>8</b:RefOrder>
  </b:Source>
  <b:Source>
    <b:Tag>AHD221</b:Tag>
    <b:SourceType>DocumentFromInternetSite</b:SourceType>
    <b:Guid>{D43E1015-E283-44AA-8D3D-A3D20CD7878F}</b:Guid>
    <b:Author>
      <b:Author>
        <b:Corporate>AHDB</b:Corporate>
      </b:Author>
    </b:Author>
    <b:Title>Heat stress and foot health</b:Title>
    <b:Year>2022</b:Year>
    <b:YearAccessed>2024</b:YearAccessed>
    <b:MonthAccessed>October</b:MonthAccessed>
    <b:URL>https://ahdb.org.uk/heat-stress-and-foot-health</b:URL>
    <b:RefOrder>9</b:RefOrder>
  </b:Source>
  <b:Source>
    <b:Tag>AHD241</b:Tag>
    <b:SourceType>DocumentFromInternetSite</b:SourceType>
    <b:Guid>{24250493-CAA9-4F81-94F1-C8E4820C865A}</b:Guid>
    <b:Author>
      <b:Author>
        <b:Corporate>AHDB</b:Corporate>
      </b:Author>
    </b:Author>
    <b:Title>High risk of fusarium and ergot after wet 2024</b:Title>
    <b:Year>2024</b:Year>
    <b:Month>July</b:Month>
    <b:Day>2022</b:Day>
    <b:URL>https://ahdb.org.uk/high-risk-of-fusarium-and-ergot-after-wet-2024</b:URL>
    <b:RefOrder>10</b:RefOrder>
  </b:Source>
  <b:Source>
    <b:Tag>AHD242</b:Tag>
    <b:SourceType>DocumentFromInternetSite</b:SourceType>
    <b:Guid>{903528AB-373B-4C4C-BA67-7263BE6E4063}</b:Guid>
    <b:Author>
      <b:Author>
        <b:Corporate>AHDB</b:Corporate>
      </b:Author>
    </b:Author>
    <b:Title>Be alert for lungworm in cattle this autumn</b:Title>
    <b:Year>2024</b:Year>
    <b:Month>October</b:Month>
    <b:Day>30</b:Day>
    <b:URL>https://ahdb.org.uk/news/be-alert-for-lungworm-in-cattle-this-autumn</b:URL>
    <b:RefOrder>11</b:RefOrder>
  </b:Source>
  <b:Source>
    <b:Tag>Pig24</b:Tag>
    <b:SourceType>DocumentFromInternetSite</b:SourceType>
    <b:Guid>{73ED7CC6-A0C2-4C1A-AD4B-C7F441A76EF2}</b:Guid>
    <b:Author>
      <b:Author>
        <b:Corporate>Pig World</b:Corporate>
      </b:Author>
    </b:Author>
    <b:Title>Wet weather hampers production on farms, as market outlook improves</b:Title>
    <b:Year>2024</b:Year>
    <b:Month>March</b:Month>
    <b:Day>21</b:Day>
    <b:URL>https://www.pig-world.co.uk/news/wet-weather-hampers-production-on-farms-as-market-outlook-improves-pig.html</b:URL>
    <b:RefOrder>12</b:RefOrder>
  </b:Source>
  <b:Source>
    <b:Tag>Met</b:Tag>
    <b:SourceType>DocumentFromInternetSite</b:SourceType>
    <b:Guid>{7EFD7CEB-4823-4D75-9AA5-8B879BABDED9}</b:Guid>
    <b:Author>
      <b:Author>
        <b:Corporate>Met Office</b:Corporate>
      </b:Author>
    </b:Author>
    <b:Title>Climate change drives increase in storm rainfall</b:Title>
    <b:URL>Wet weather hampers production on farms, as market outlook improves</b:URL>
    <b:RefOrder>13</b:RefOrder>
  </b:Source>
  <b:Source>
    <b:Tag>Met22</b:Tag>
    <b:SourceType>DocumentFromInternetSite</b:SourceType>
    <b:Guid>{E87FB75F-8CA5-413F-8BD0-A0DDB14A6C96}</b:Guid>
    <b:Author>
      <b:Author>
        <b:Corporate>Met Office</b:Corporate>
      </b:Author>
    </b:Author>
    <b:Title>UK Climate Projections: Headline Findings August 2022</b:Title>
    <b:Year>2022</b:Year>
    <b:Month>August</b:Month>
    <b:URL>https://www.metoffice.gov.uk/binaries/content/assets/metofficegovuk/pdf/research/ukcp/ukcp18_headline_findings_v4_aug22.pdf</b:URL>
    <b:RefOrder>14</b:RefOrder>
  </b:Source>
  <b:Source>
    <b:Tag>Met241</b:Tag>
    <b:SourceType>DocumentFromInternetSite</b:SourceType>
    <b:Guid>{29893770-843C-4CC4-85D3-DBCC87FCCBC7}</b:Guid>
    <b:Author>
      <b:Author>
        <b:Corporate>Met Office</b:Corporate>
      </b:Author>
    </b:Author>
    <b:Title>Seasonal Assessment - Autumn 2023</b:Title>
    <b:YearAccessed>2024</b:YearAccessed>
    <b:MonthAccessed>October</b:MonthAccessed>
    <b:URL>https://www.metoffice.gov.uk/binaries/content/assets/metofficegovuk/pdf/weather/learn-about/uk-past-events/summaries/uk_climate_summary_autumn_2023.pdf</b:URL>
    <b:RefOrder>15</b:RefOrder>
  </b:Source>
  <b:Source>
    <b:Tag>AHD243</b:Tag>
    <b:SourceType>DocumentFromInternetSite</b:SourceType>
    <b:Guid>{6580E84C-02A7-4B3A-82B8-EBC65557780A}</b:Guid>
    <b:Author>
      <b:Author>
        <b:Corporate>AHDB</b:Corporate>
      </b:Author>
    </b:Author>
    <b:Title>Seasonal Assessment - Winter 2024</b:Title>
    <b:YearAccessed>2024</b:YearAccessed>
    <b:MonthAccessed>October</b:MonthAccessed>
    <b:URL>https://www.metoffice.gov.uk/binaries/content/assets/metofficegovuk/pdf/weather/learn-about/uk-past-events/summaries/uk_climate_summary_winter_2024.pdf</b:URL>
    <b:RefOrder>16</b:RefOrder>
  </b:Source>
  <b:Source>
    <b:Tag>Met242</b:Tag>
    <b:SourceType>DocumentFromInternetSite</b:SourceType>
    <b:Guid>{D36CF8BC-6A8F-4F72-9ECA-6837F32C1D41}</b:Guid>
    <b:Author>
      <b:Author>
        <b:Corporate>Met Office</b:Corporate>
      </b:Author>
    </b:Author>
    <b:Title>Seasonal Assessment - Spring 2024</b:Title>
    <b:YearAccessed>2024</b:YearAccessed>
    <b:MonthAccessed>October</b:MonthAccessed>
    <b:URL>https://www.metoffice.gov.uk/binaries/content/assets/metofficegovuk/pdf/weather/learn-about/uk-past-events/summaries/seasonal-assessment---spring24_v1.pdf</b:URL>
    <b:RefOrder>17</b:RefOrder>
  </b:Source>
  <b:Source>
    <b:Tag>Met243</b:Tag>
    <b:SourceType>DocumentFromInternetSite</b:SourceType>
    <b:Guid>{B7FF3D14-7E99-4960-A41B-9F4159EC1736}</b:Guid>
    <b:Author>
      <b:Author>
        <b:Corporate>Met Office</b:Corporate>
      </b:Author>
    </b:Author>
    <b:Title>Seasonal Assessment – Summer 2024</b:Title>
    <b:YearAccessed>2024</b:YearAccessed>
    <b:MonthAccessed>October</b:MonthAccessed>
    <b:URL>https://www.metoffice.gov.uk/binaries/content/assets/metofficegovuk/pdf/weather/learn-about/uk-past-events/summaries/seasonal-assessment---summer24.pdf</b:URL>
    <b:RefOrder>18</b:RefOrder>
  </b:Source>
  <b:Source>
    <b:Tag>Wil19</b:Tag>
    <b:SourceType>DocumentFromInternetSite</b:SourceType>
    <b:Guid>{A191D233-1022-4C36-8316-EF8DF1FBE647}</b:Guid>
    <b:Title>Putting Our Eggs in a Better Basket - A Survey of English Farmers' Opinions on Agricultural Policy</b:Title>
    <b:Year>2019</b:Year>
    <b:Month>June</b:Month>
    <b:URL>https://www.wcl.org.uk/docs/WCL_Farmer_Survey_Report_Jun19FINAL.pdf</b:URL>
    <b:Author>
      <b:Author>
        <b:Corporate>Wildife and Countryside Link</b:Corporate>
      </b:Author>
    </b:Author>
    <b:RefOrder>19</b:RefOrder>
  </b:Source>
  <b:Source>
    <b:Tag>Kit23</b:Tag>
    <b:SourceType>DocumentFromInternetSite</b:SourceType>
    <b:Guid>{CF474B7F-B01E-44B3-A9EE-49FA6226683F}</b:Guid>
    <b:Author>
      <b:Author>
        <b:Corporate>Kite Consulting</b:Corporate>
      </b:Author>
    </b:Author>
    <b:Title>TCFD on Farm: Understanding Dairy Farm Risks and Resilience in the Face of Climate Change</b:Title>
    <b:Year>2023</b:Year>
    <b:Month>November</b:Month>
    <b:URL>https://www.kiteconsulting.com/wp-content/uploads/2023/11/ASDA-TCFD-Report-Final-November-23_compressed-2.pdf</b:URL>
    <b:RefOrder>20</b:RefOrder>
  </b:Source>
  <b:Source>
    <b:Tag>AHD244</b:Tag>
    <b:SourceType>InternetSite</b:SourceType>
    <b:Guid>{10F2F68E-D589-4956-8236-8974266E7575}</b:Guid>
    <b:Author>
      <b:Author>
        <b:Corporate>AHDB</b:Corporate>
      </b:Author>
    </b:Author>
    <b:Title>Levy information</b:Title>
    <b:YearAccessed>2024</b:YearAccessed>
    <b:MonthAccessed>October</b:MonthAccessed>
    <b:URL>https://ahdb.org.uk/levy-information</b:URL>
    <b:RefOrder>21</b:RefOrder>
  </b:Source>
  <b:Source>
    <b:Tag>AHD245</b:Tag>
    <b:SourceType>InternetSite</b:SourceType>
    <b:Guid>{C3BAEEE8-3A1B-4BDE-BEEA-CF9A31DCD747}</b:Guid>
    <b:Author>
      <b:Author>
        <b:Corporate>AHDB</b:Corporate>
      </b:Author>
    </b:Author>
    <b:Year>2024</b:Year>
    <b:Month>November</b:Month>
    <b:URL>https://archive.ahdb.org.uk/Horticulture_Potatoes_2021_22_levy_rates_and_wind_down</b:URL>
    <b:RefOrder>22</b:RefOrder>
  </b:Source>
  <b:Source>
    <b:Tag>AHD246</b:Tag>
    <b:SourceType>InternetSite</b:SourceType>
    <b:Guid>{1646FB3C-0B28-41FE-AD04-B8A9EEB4CA98}</b:Guid>
    <b:Author>
      <b:Author>
        <b:Corporate>AHDB</b:Corporate>
      </b:Author>
    </b:Author>
    <b:Title>Governance</b:Title>
    <b:Year>2024</b:Year>
    <b:Month>November</b:Month>
    <b:URL>https://ahdb.org.uk/governance-2</b:URL>
    <b:RefOrder>23</b:RefOrder>
  </b:Source>
  <b:Source>
    <b:Tag>AHD247</b:Tag>
    <b:SourceType>InternetSite</b:SourceType>
    <b:Guid>{95832CEB-639A-46CE-9ECE-5E5A85551AFF}</b:Guid>
    <b:Author>
      <b:Author>
        <b:Corporate>AHDB</b:Corporate>
      </b:Author>
    </b:Author>
    <b:Title>Sector plans</b:Title>
    <b:Year>2024</b:Year>
    <b:Month>November</b:Month>
    <b:URL>https://ahdb.org.uk/sector-plans</b:URL>
    <b:RefOrder>24</b:RefOrder>
  </b:Source>
  <b:Source>
    <b:Tag>AHD248</b:Tag>
    <b:SourceType>InternetSite</b:SourceType>
    <b:Guid>{734A0601-56E1-4CD5-9F0E-1D9D2662B8F7}</b:Guid>
    <b:Author>
      <b:Author>
        <b:Corporate>AHDB</b:Corporate>
      </b:Author>
    </b:Author>
    <b:Title>Environment</b:Title>
    <b:Year>2024</b:Year>
    <b:Month>November</b:Month>
    <b:URL>https://ahdb.org.uk/the-environment</b:URL>
    <b:RefOrder>25</b:RefOrder>
  </b:Source>
  <b:Source>
    <b:Tag>Dai24</b:Tag>
    <b:SourceType>InternetSite</b:SourceType>
    <b:Guid>{47636BC0-D50D-488F-9F48-33994A69865A}</b:Guid>
    <b:Author>
      <b:Author>
        <b:Corporate>Dairy roadmap UK</b:Corporate>
      </b:Author>
    </b:Author>
    <b:Title>The Dairy Roadmap</b:Title>
    <b:Year>2024</b:Year>
    <b:Month>November</b:Month>
    <b:URL>https://dairyroadmap.co.uk/</b:URL>
    <b:RefOrder>26</b:RefOrder>
  </b:Source>
  <b:Source>
    <b:Tag>AHD249</b:Tag>
    <b:SourceType>InternetSite</b:SourceType>
    <b:Guid>{E0BAFBA6-B924-45CC-AF5C-6A74332DC73E}</b:Guid>
    <b:Author>
      <b:Author>
        <b:Corporate>AHDB</b:Corporate>
      </b:Author>
    </b:Author>
    <b:Year>2024</b:Year>
    <b:Month>November</b:Month>
    <b:URL>https://ahdb.org.uk/crop-nutrient-management-partnership</b:URL>
    <b:RefOrder>27</b:RefOrder>
  </b:Source>
  <b:Source>
    <b:Tag>AHD2410</b:Tag>
    <b:SourceType>InternetSite</b:SourceType>
    <b:Guid>{4E1BF20E-7BB6-4D93-9EF8-C270B2369699}</b:Guid>
    <b:Author>
      <b:Author>
        <b:Corporate>AHDB</b:Corporate>
      </b:Author>
    </b:Author>
    <b:Title>Crop Nutrient Management Partnership</b:Title>
    <b:Year>2024</b:Year>
    <b:Month>November</b:Month>
    <b:URL>https://ahdb.org.uk/crop-nutrient-management-partnership</b:URL>
    <b:RefOrder>28</b:RefOrder>
  </b:Source>
  <b:Source>
    <b:Tag>Wha22</b:Tag>
    <b:SourceType>JournalArticle</b:SourceType>
    <b:Guid>{533299E8-A5A8-4224-AF48-48A481B7F216}</b:Guid>
    <b:Title>What do changing weather and climate shocks and stresses mean for the UK food system?</b:Title>
    <b:JournalName>Environmental Research Letters</b:JournalName>
    <b:Year>2022</b:Year>
    <b:Volume>17</b:Volume>
    <b:Issue>5</b:Issue>
    <b:Author>
      <b:Author>
        <b:Corporate>Falloon, P., Bebber, D.P., Dalin, C., Ingram, J., Mitchell, D., Hartley, T.N., Johnes, P.J., Newbold, T, Challinor, A.J., Finch, J., Galdos, M.V., Petty, C., Cornforth, R., Bhunnoo, R., Pope, E., Enow,. A, Borrion, A., Waterson, A., MacNeill, K and Ho</b:Corporate>
      </b:Author>
    </b:Author>
    <b:RefOrder>29</b:RefOrder>
  </b:Source>
  <b:Source>
    <b:Tag>HMG22</b:Tag>
    <b:SourceType>DocumentFromInternetSite</b:SourceType>
    <b:Guid>{A3460F37-0B9F-491F-A7BB-DEE76708591A}</b:Guid>
    <b:Title>UK Climate Change Risk </b:Title>
    <b:Year>2022</b:Year>
    <b:Month>January</b:Month>
    <b:Day>17</b:Day>
    <b:YearAccessed>2024</b:YearAccessed>
    <b:MonthAccessed>November</b:MonthAccessed>
    <b:URL>https://assets.publishing.service.gov.uk/media/61e54d8f8fa8f505985ef3c7/climate-change-risk-assessment-2022.pdf</b:URL>
    <b:Author>
      <b:Author>
        <b:Corporate>HM Government</b:Corporate>
      </b:Author>
    </b:Author>
    <b:RefOrder>30</b:RefOrder>
  </b:Source>
  <b:Source>
    <b:Tag>Cli21</b:Tag>
    <b:SourceType>DocumentFromInternetSite</b:SourceType>
    <b:Guid>{3E3CBB36-FEA7-44FA-97C9-56F7E92FB6B7}</b:Guid>
    <b:Author>
      <b:Author>
        <b:Corporate>Climate Change Committee</b:Corporate>
      </b:Author>
    </b:Author>
    <b:Title>Independent Assessment of UK Climate Risk: Advice to Government For the UK’s third Climate Change Risk Assessment (CCRA3) </b:Title>
    <b:Year>2021</b:Year>
    <b:Month>June</b:Month>
    <b:URL>https://www.theccc.org.uk/wp-content/uploads/2021/07/Independent-Assessment-of-UK-Climate-Risk-Advice-to-Govt-for-CCRA3-CCC.pdf</b:URL>
    <b:RefOrder>31</b:RefOrder>
  </b:Source>
  <b:Source>
    <b:Tag>Met244</b:Tag>
    <b:SourceType>InternetSite</b:SourceType>
    <b:Guid>{C6F00E1B-B6A0-4C2E-9063-35B7631E6ADE}</b:Guid>
    <b:Title>UK Climate Projections (UKCP)</b:Title>
    <b:YearAccessed>2024</b:YearAccessed>
    <b:MonthAccessed>November</b:MonthAccessed>
    <b:URL>https://www.metoffice.gov.uk/research/approach/collaboration/ukcp</b:URL>
    <b:Author>
      <b:Author>
        <b:Corporate>Met Office</b:Corporate>
      </b:Author>
    </b:Author>
    <b:RefOrder>32</b:RefOrder>
  </b:Source>
  <b:Source>
    <b:Tag>The17</b:Tag>
    <b:SourceType>DocumentFromInternetSite</b:SourceType>
    <b:Guid>{1569D664-2C69-402A-8C30-3B1562F62DE0}</b:Guid>
    <b:Author>
      <b:Author>
        <b:Corporate>The Global Food Security Programme</b:Corporate>
      </b:Author>
    </b:Author>
    <b:Title>Environmental tipping points and food system dynamics</b:Title>
    <b:Year>2017</b:Year>
    <b:Month>January</b:Month>
    <b:URL>https://www.foodsecurity.ac.uk/news/170112-n-report-impact-environmental-tipping-points/</b:URL>
    <b:RefOrder>33</b:RefOrder>
  </b:Source>
  <b:Source>
    <b:Tag>Met246</b:Tag>
    <b:SourceType>InternetSite</b:SourceType>
    <b:Guid>{99443450-3DF0-4A4C-B82C-9AE8DD40FC3F}</b:Guid>
    <b:Author>
      <b:Author>
        <b:Corporate>Met Office</b:Corporate>
      </b:Author>
    </b:Author>
    <b:Title>Climate change adaptation - Met Office</b:Title>
    <b:YearAccessed>2024</b:YearAccessed>
    <b:MonthAccessed>October</b:MonthAccessed>
    <b:URL>https://www.metoffice.gov.uk/weather/climate/solutions/climate-change-adaptation</b:URL>
    <b:RefOrder>34</b:RefOrder>
  </b:Source>
  <b:Source>
    <b:Tag>Met247</b:Tag>
    <b:SourceType>DocumentFromInternetSite</b:SourceType>
    <b:Guid>{6C59AC42-81FE-4D4B-B473-6AED1E0EECB9}</b:Guid>
    <b:Author>
      <b:Author>
        <b:Corporate>Met Office</b:Corporate>
      </b:Author>
    </b:Author>
    <b:Title>Seasonal Assessment - Summer 2024</b:Title>
    <b:YearAccessed>2024</b:YearAccessed>
    <b:MonthAccessed>October</b:MonthAccessed>
    <b:URL>https://www.metoffice.gov.uk/binaries/content/assets/metofficegovuk/pdf/weather/learn-about/uk-past-events/summaries/seasonal-assessment---summer24.pdf</b:URL>
    <b:RefOrder>35</b:RefOrder>
  </b:Source>
  <b:Source>
    <b:Tag>Fro23</b:Tag>
    <b:SourceType>JournalArticle</b:SourceType>
    <b:Guid>{1189FD78-9262-4468-8838-FF55D7BCC355}</b:Guid>
    <b:Author>
      <b:Author>
        <b:Corporate>Davie, J.C.S., Falloon, P.D., Pain, D.L.A., Sharp, T.J., Housden, M, Warne, T.C., Loosley, T, Grant, E, Swan J, Spincer, J,D,G,, Crocker, T, Cottrell, A, Pope, E,C..D. and Griffiths. S</b:Corporate>
      </b:Author>
    </b:Author>
    <b:Title>2022 UK heatwave impacts on agrifood: implications for a climate-resilient food system</b:Title>
    <b:Year>2023</b:Year>
    <b:URL>https://www.frontiersin.org/journals/environmental-science/articles/10.3389/fenvs.2023.1282284/full</b:URL>
    <b:JournalName>Frontiers in Environmental Science</b:JournalName>
    <b:Pages>8</b:Pages>
    <b:Volume>11</b:Volume>
    <b:RefOrder>36</b:RefOrder>
  </b:Source>
  <b:Source>
    <b:Tag>Nex24</b:Tag>
    <b:SourceType>DocumentFromInternetSite</b:SourceType>
    <b:Guid>{167C0BE4-767F-4EDA-A2C9-BD9AADB0AB14}</b:Guid>
    <b:Title>Next few weeks crucial for farmers as survey confirms drastic reduction in crops</b:Title>
    <b:Year>2024</b:Year>
    <b:Month>March</b:Month>
    <b:Day>15</b:Day>
    <b:URL>https://ahdb.org.uk/news/next-few-weeks-crucial-for-farmers-as-survey-confirms-drastic-reduction-in-crops</b:URL>
    <b:Author>
      <b:Author>
        <b:Corporate>AHDB</b:Corporate>
      </b:Author>
    </b:Author>
    <b:RefOrder>37</b:RefOrder>
  </b:Source>
  <b:Source>
    <b:Tag>DEF23</b:Tag>
    <b:SourceType>DocumentFromInternetSite</b:SourceType>
    <b:Guid>{D4BD52AC-68FC-47BD-AD29-A3B2CC351801}</b:Guid>
    <b:Author>
      <b:Author>
        <b:Corporate>Defra</b:Corporate>
      </b:Author>
    </b:Author>
    <b:Title>Farmer Opinion Tracker for England: October 2023</b:Title>
    <b:Year>2023</b:Year>
    <b:Month>October</b:Month>
    <b:URL>https://www.gov.uk/government/statistics/farmer-opinion-tracker-for-england-october-2023/farmer-opinion-tracker-for-england-october-2023</b:URL>
    <b:RefOrder>38</b:RefOrder>
  </b:Source>
  <b:Source>
    <b:Tag>DEF24</b:Tag>
    <b:SourceType>InternetSite</b:SourceType>
    <b:Guid>{E5DDA193-5FF8-47B3-B73D-AECF95F00519}</b:Guid>
    <b:Author>
      <b:Author>
        <b:Corporate>Defra</b:Corporate>
      </b:Author>
    </b:Author>
    <b:Title>Farm Practices Survey</b:Title>
    <b:YearAccessed>2024</b:YearAccessed>
    <b:MonthAccessed>October</b:MonthAccessed>
    <b:URL>https://www.gov.uk/government/collections/farm-practices-survey</b:URL>
    <b:RefOrder>39</b:RefOrder>
  </b:Source>
  <b:Source>
    <b:Tag>DEF21</b:Tag>
    <b:SourceType>DocumentFromInternetSite</b:SourceType>
    <b:Guid>{A03FF137-0CBC-436B-B47A-8E06D0F9E765}</b:Guid>
    <b:Author>
      <b:Author>
        <b:Corporate>Defra</b:Corporate>
      </b:Author>
    </b:Author>
    <b:Title>United Kingdom Food Security Report 2021</b:Title>
    <b:Year>2021</b:Year>
    <b:YearAccessed>2024</b:YearAccessed>
    <b:MonthAccessed>November</b:MonthAccessed>
    <b:URL>https://www.gov.uk/government/statistics/united-kingdom-food-security-report-2021/united-kingdom-food-security-report-2021-contents</b:URL>
    <b:RefOrder>40</b:RefOrder>
  </b:Source>
  <b:Source>
    <b:Tag>DEF</b:Tag>
    <b:SourceType>InternetSite</b:SourceType>
    <b:Guid>{3B79C479-5D01-4B03-8859-C02F073ECAE6}</b:Guid>
    <b:Author>
      <b:Author>
        <b:Corporate>Defra</b:Corporate>
      </b:Author>
    </b:Author>
    <b:Title>Agriculture in the United Kingdom 2023, Chapter 7: Crops</b:Title>
    <b:URL>https://www.gov.uk/government/statistics/agriculture-in-the-united-kingdom-2023/chapter-7-crops</b:URL>
    <b:RefOrder>41</b:RefOrder>
  </b:Source>
  <b:Source>
    <b:Tag>DEF241</b:Tag>
    <b:SourceType>InternetSite</b:SourceType>
    <b:Guid>{3F652BA6-D327-4504-B18F-44D006E8649E}</b:Guid>
    <b:Author>
      <b:Author>
        <b:Corporate>Defra</b:Corporate>
      </b:Author>
    </b:Author>
    <b:Title>Agriculture in the United Kingdom, Chapter 6: Livestock</b:Title>
    <b:Year>2024</b:Year>
    <b:Month>July</b:Month>
    <b:YearAccessed>2024</b:YearAccessed>
    <b:MonthAccessed>November</b:MonthAccessed>
    <b:URL>https://www.gov.uk/government/statistics/agriculture-in-the-united-kingdom-2023/chapter-8-livestock</b:URL>
    <b:RefOrder>42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5BB6C486670CFA439E20B123FBE95DBD" ma:contentTypeVersion="5" ma:contentTypeDescription="Create a new document." ma:contentTypeScope="" ma:versionID="8402b3dd105d6003c80b2d0ceeb167fc">
  <xsd:schema xmlns:xsd="http://www.w3.org/2001/XMLSchema" xmlns:xs="http://www.w3.org/2001/XMLSchema" xmlns:p="http://schemas.microsoft.com/office/2006/metadata/properties" xmlns:ns1="http://schemas.microsoft.com/sharepoint/v3" xmlns:ns2="7944f788-76cb-4778-919b-8a7458e8c307" xmlns:ns3="b376b2a6-7575-4d46-aec0-dea19ee7f26f" xmlns:ns4="e08aa465-628a-4f78-a5d9-7724828ac724" targetNamespace="http://schemas.microsoft.com/office/2006/metadata/properties" ma:root="true" ma:fieldsID="fd417dfa7ea50c69b4458796dc06e554" ns1:_="" ns2:_="" ns3:_="" ns4:_="">
    <xsd:import namespace="http://schemas.microsoft.com/sharepoint/v3"/>
    <xsd:import namespace="7944f788-76cb-4778-919b-8a7458e8c307"/>
    <xsd:import namespace="b376b2a6-7575-4d46-aec0-dea19ee7f26f"/>
    <xsd:import namespace="e08aa465-628a-4f78-a5d9-7724828ac724"/>
    <xsd:element name="properties">
      <xsd:complexType>
        <xsd:sequence>
          <xsd:element name="documentManagement">
            <xsd:complexType>
              <xsd:all>
                <xsd:element ref="ns2:_dlc_DocId" minOccurs="0"/>
                <xsd:element ref="ns2:_dlc_DocIdUrl" minOccurs="0"/>
                <xsd:element ref="ns3:_dlc_DocIdPersistId" minOccurs="0"/>
                <xsd:element ref="ns1:_ip_UnifiedCompliancePolicyProperties" minOccurs="0"/>
                <xsd:element ref="ns1:_ip_UnifiedCompliancePolicyUIAction"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44f788-76cb-4778-919b-8a7458e8c3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376b2a6-7575-4d46-aec0-dea19ee7f26f"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08aa465-628a-4f78-a5d9-7724828ac72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7944f788-76cb-4778-919b-8a7458e8c307">FQ5ZMY4SUX2Y-334373929-234</_dlc_DocId>
    <_dlc_DocIdUrl xmlns="7944f788-76cb-4778-919b-8a7458e8c307">
      <Url>https://ahdbonline.sharepoint.com/sites/RnD2/Projects/Root/91250004/_layouts/15/DocIdRedir.aspx?ID=FQ5ZMY4SUX2Y-334373929-234</Url>
      <Description>FQ5ZMY4SUX2Y-334373929-234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1C10B4-0DFC-4BC4-BF94-D26D64184D40}">
  <ds:schemaRefs>
    <ds:schemaRef ds:uri="http://schemas.openxmlformats.org/officeDocument/2006/bibliography"/>
  </ds:schemaRefs>
</ds:datastoreItem>
</file>

<file path=customXml/itemProps2.xml><?xml version="1.0" encoding="utf-8"?>
<ds:datastoreItem xmlns:ds="http://schemas.openxmlformats.org/officeDocument/2006/customXml" ds:itemID="{28CFB865-6B68-4591-B8E5-45C21ED5A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44f788-76cb-4778-919b-8a7458e8c307"/>
    <ds:schemaRef ds:uri="b376b2a6-7575-4d46-aec0-dea19ee7f26f"/>
    <ds:schemaRef ds:uri="e08aa465-628a-4f78-a5d9-7724828ac7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50E5B-4837-487C-AB4B-0C3F3A4BF9EC}">
  <ds:schemaRefs>
    <ds:schemaRef ds:uri="http://schemas.microsoft.com/sharepoint/v3/contenttype/forms"/>
  </ds:schemaRefs>
</ds:datastoreItem>
</file>

<file path=customXml/itemProps4.xml><?xml version="1.0" encoding="utf-8"?>
<ds:datastoreItem xmlns:ds="http://schemas.openxmlformats.org/officeDocument/2006/customXml" ds:itemID="{0D3F3373-19BD-4AAD-89CD-00A2FC8C5D79}">
  <ds:schemaRefs>
    <ds:schemaRef ds:uri="http://schemas.microsoft.com/office/2006/metadata/properties"/>
    <ds:schemaRef ds:uri="http://schemas.microsoft.com/office/infopath/2007/PartnerControls"/>
    <ds:schemaRef ds:uri="http://schemas.microsoft.com/sharepoint/v3"/>
    <ds:schemaRef ds:uri="7944f788-76cb-4778-919b-8a7458e8c307"/>
  </ds:schemaRefs>
</ds:datastoreItem>
</file>

<file path=customXml/itemProps5.xml><?xml version="1.0" encoding="utf-8"?>
<ds:datastoreItem xmlns:ds="http://schemas.openxmlformats.org/officeDocument/2006/customXml" ds:itemID="{8F837DD9-10D7-418B-85B0-4C41C8DCB166}">
  <ds:schemaRefs>
    <ds:schemaRef ds:uri="http://schemas.microsoft.com/sharepoint/events"/>
  </ds:schemaRefs>
</ds:datastoreItem>
</file>

<file path=docMetadata/LabelInfo.xml><?xml version="1.0" encoding="utf-8"?>
<clbl:labelList xmlns:clbl="http://schemas.microsoft.com/office/2020/mipLabelMetadata">
  <clbl:label id="{775d0ceb-c2af-4360-b5b9-28d8bcd5c08e}" enabled="1" method="Standard" siteId="{a12ce54b-3d3d-4346-95ef-ff13ca5dd47d}" removed="0"/>
</clbl:labelList>
</file>

<file path=docProps/app.xml><?xml version="1.0" encoding="utf-8"?>
<Properties xmlns="http://schemas.openxmlformats.org/officeDocument/2006/extended-properties" xmlns:vt="http://schemas.openxmlformats.org/officeDocument/2006/docPropsVTypes">
  <Template>AHDBReportTemplate_2025(WhiteCover)</Template>
  <TotalTime>1</TotalTime>
  <Pages>69</Pages>
  <Words>23139</Words>
  <Characters>131897</Characters>
  <Application>Microsoft Office Word</Application>
  <DocSecurity>8</DocSecurity>
  <Lines>1099</Lines>
  <Paragraphs>309</Paragraphs>
  <ScaleCrop>false</ScaleCrop>
  <HeadingPairs>
    <vt:vector size="2" baseType="variant">
      <vt:variant>
        <vt:lpstr>Title</vt:lpstr>
      </vt:variant>
      <vt:variant>
        <vt:i4>1</vt:i4>
      </vt:variant>
    </vt:vector>
  </HeadingPairs>
  <TitlesOfParts>
    <vt:vector size="1" baseType="lpstr">
      <vt:lpstr>Early indicators to monitor changes in soil health</vt:lpstr>
    </vt:vector>
  </TitlesOfParts>
  <Company>AHDB</Company>
  <LinksUpToDate>false</LinksUpToDate>
  <CharactersWithSpaces>154727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Early_indicators_to_monitor_changes_in_soil_health</dc:title>
  <dc:subject/>
  <dc:creator>Joanna McBurnie</dc:creator>
  <cp:keywords/>
  <dc:description/>
  <cp:lastModifiedBy>Jason Pole</cp:lastModifiedBy>
  <cp:revision>14</cp:revision>
  <cp:lastPrinted>2025-02-18T12:37:00Z</cp:lastPrinted>
  <dcterms:created xsi:type="dcterms:W3CDTF">2026-07-10T12:01:00Z</dcterms:created>
  <dcterms:modified xsi:type="dcterms:W3CDTF">2026-07-13T09:53:00Z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0x0101005BB6C486670CFA439E20B123FBE95DBD</vt:lpwstr>
  </property>
  <property fmtid="{D5CDD505-2E9C-101B-9397-08002B2CF9AE}" pid="3" name="MediaServiceImageTags">
    <vt:lpwstr/>
  </property>
  <property fmtid="{D5CDD505-2E9C-101B-9397-08002B2CF9AE}" pid="4" name="ahdbFunction">
    <vt:lpwstr/>
  </property>
  <property fmtid="{D5CDD505-2E9C-101B-9397-08002B2CF9AE}" pid="5" name="ahdbBrand">
    <vt:lpwstr/>
  </property>
  <property fmtid="{D5CDD505-2E9C-101B-9397-08002B2CF9AE}" pid="6" name="ahdbSectorClassification">
    <vt:lpwstr/>
  </property>
  <property fmtid="{D5CDD505-2E9C-101B-9397-08002B2CF9AE}" pid="7" name="ahdbContentType">
    <vt:lpwstr/>
  </property>
  <property fmtid="{D5CDD505-2E9C-101B-9397-08002B2CF9AE}" pid="8" name="ahdbTopic">
    <vt:lpwstr/>
  </property>
  <property fmtid="{D5CDD505-2E9C-101B-9397-08002B2CF9AE}" pid="9" name="docLang">
    <vt:lpwstr>en</vt:lpwstr>
  </property>
  <property fmtid="{D5CDD505-2E9C-101B-9397-08002B2CF9AE}" pid="10" name="ClassificationContentMarkingHeaderShapeIds">
    <vt:lpwstr>5fe01928,1eb1c708,508a9056,21df714b,3e8ae822,65499096</vt:lpwstr>
  </property>
  <property fmtid="{D5CDD505-2E9C-101B-9397-08002B2CF9AE}" pid="11" name="ClassificationContentMarkingHeaderFontProps">
    <vt:lpwstr>#000000,12,Aptos</vt:lpwstr>
  </property>
  <property fmtid="{D5CDD505-2E9C-101B-9397-08002B2CF9AE}" pid="12" name="ClassificationContentMarkingHeaderText">
    <vt:lpwstr>OFFICIAL</vt:lpwstr>
  </property>
  <property fmtid="{D5CDD505-2E9C-101B-9397-08002B2CF9AE}" pid="13" name="_dlc_DocIdItemGuid">
    <vt:lpwstr>3697d98f-ecc6-471d-b83d-06d07544a918</vt:lpwstr>
  </property>
</Properties>
</file>